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E565F3" w14:textId="77777777" w:rsidR="00ED1FBD" w:rsidRDefault="00ED1FBD" w:rsidP="00ED1FBD">
      <w:pPr>
        <w:jc w:val="center"/>
        <w:rPr>
          <w:rFonts w:ascii="Arial" w:hAnsi="Arial" w:cs="Arial"/>
          <w:b/>
          <w:smallCaps/>
          <w:sz w:val="28"/>
          <w:szCs w:val="28"/>
        </w:rPr>
      </w:pPr>
      <w:r w:rsidRPr="00ED1FBD">
        <w:rPr>
          <w:rFonts w:ascii="Arial" w:hAnsi="Arial" w:cs="Arial"/>
          <w:b/>
          <w:smallCaps/>
          <w:sz w:val="28"/>
          <w:szCs w:val="28"/>
        </w:rPr>
        <w:t xml:space="preserve">La irrupción del concepto de “debida diligencia” en el Derecho del Trabajo:  </w:t>
      </w:r>
    </w:p>
    <w:p w14:paraId="4A84DC9D" w14:textId="77777777" w:rsidR="00AE1531" w:rsidRPr="00ED1FBD" w:rsidRDefault="00ED1FBD" w:rsidP="00ED1FBD">
      <w:pPr>
        <w:jc w:val="center"/>
        <w:rPr>
          <w:rFonts w:ascii="Arial" w:hAnsi="Arial" w:cs="Arial"/>
          <w:b/>
          <w:smallCaps/>
          <w:sz w:val="28"/>
          <w:szCs w:val="28"/>
        </w:rPr>
      </w:pPr>
      <w:r w:rsidRPr="00ED1FBD">
        <w:rPr>
          <w:rFonts w:ascii="Arial" w:hAnsi="Arial" w:cs="Arial"/>
          <w:b/>
          <w:smallCaps/>
          <w:sz w:val="28"/>
          <w:szCs w:val="28"/>
        </w:rPr>
        <w:t>¿transposición, asimilación o alteración dogmática?</w:t>
      </w:r>
    </w:p>
    <w:p w14:paraId="66105BDC" w14:textId="77777777" w:rsidR="00ED1FBD" w:rsidRDefault="00ED1FBD"/>
    <w:p w14:paraId="1CA0E52F" w14:textId="176D04A2" w:rsidR="00ED1FBD" w:rsidRPr="00D83AF7" w:rsidRDefault="00ED1FBD" w:rsidP="00ED1FBD">
      <w:pPr>
        <w:jc w:val="right"/>
        <w:rPr>
          <w:rStyle w:val="Refdenotaalpie"/>
          <w:rFonts w:ascii="Arial" w:hAnsi="Arial" w:cs="Arial"/>
          <w:sz w:val="24"/>
          <w:szCs w:val="24"/>
        </w:rPr>
      </w:pPr>
      <w:r w:rsidRPr="00D83AF7">
        <w:rPr>
          <w:rFonts w:ascii="Arial" w:hAnsi="Arial" w:cs="Arial"/>
          <w:sz w:val="24"/>
          <w:szCs w:val="24"/>
        </w:rPr>
        <w:t>Hugo Barretto Ghione</w:t>
      </w:r>
      <w:r w:rsidRPr="00D83AF7">
        <w:rPr>
          <w:rStyle w:val="Refdenotaalpie"/>
          <w:rFonts w:ascii="Arial" w:hAnsi="Arial" w:cs="Arial"/>
          <w:sz w:val="24"/>
          <w:szCs w:val="24"/>
        </w:rPr>
        <w:footnoteReference w:customMarkFollows="1" w:id="1"/>
        <w:sym w:font="Symbol" w:char="F02A"/>
      </w:r>
    </w:p>
    <w:p w14:paraId="4C577DE9" w14:textId="5220B67A" w:rsidR="005A7542" w:rsidRDefault="005A7542" w:rsidP="00295C6D">
      <w:pPr>
        <w:jc w:val="both"/>
        <w:rPr>
          <w:rFonts w:ascii="Arial" w:hAnsi="Arial" w:cs="Arial"/>
          <w:sz w:val="24"/>
          <w:szCs w:val="24"/>
        </w:rPr>
      </w:pPr>
    </w:p>
    <w:p w14:paraId="51BCA26F" w14:textId="77777777" w:rsidR="005722A8" w:rsidRDefault="005722A8" w:rsidP="00295C6D">
      <w:pPr>
        <w:jc w:val="both"/>
        <w:rPr>
          <w:rFonts w:ascii="Arial" w:hAnsi="Arial" w:cs="Arial"/>
          <w:sz w:val="24"/>
          <w:szCs w:val="24"/>
        </w:rPr>
      </w:pPr>
    </w:p>
    <w:p w14:paraId="4CB058DC" w14:textId="77777777" w:rsidR="005722A8" w:rsidRDefault="005722A8" w:rsidP="00295C6D">
      <w:pPr>
        <w:jc w:val="both"/>
        <w:rPr>
          <w:rFonts w:ascii="Arial" w:hAnsi="Arial" w:cs="Arial"/>
          <w:sz w:val="24"/>
          <w:szCs w:val="24"/>
        </w:rPr>
      </w:pPr>
    </w:p>
    <w:p w14:paraId="244DD647" w14:textId="77777777" w:rsidR="005722A8" w:rsidRDefault="005722A8" w:rsidP="00295C6D">
      <w:pPr>
        <w:jc w:val="both"/>
        <w:rPr>
          <w:rFonts w:ascii="Arial" w:hAnsi="Arial" w:cs="Arial"/>
          <w:sz w:val="24"/>
          <w:szCs w:val="24"/>
        </w:rPr>
      </w:pPr>
    </w:p>
    <w:p w14:paraId="592219EA" w14:textId="77777777" w:rsidR="005722A8" w:rsidRPr="00D83AF7" w:rsidRDefault="005722A8" w:rsidP="00295C6D">
      <w:pPr>
        <w:jc w:val="both"/>
        <w:rPr>
          <w:rFonts w:ascii="Arial" w:hAnsi="Arial" w:cs="Arial"/>
          <w:sz w:val="24"/>
          <w:szCs w:val="24"/>
        </w:rPr>
      </w:pPr>
    </w:p>
    <w:p w14:paraId="08CCBD34" w14:textId="58A059B8" w:rsidR="005A7542" w:rsidRPr="00D83AF7" w:rsidRDefault="005A7542" w:rsidP="005A7542">
      <w:pPr>
        <w:pStyle w:val="Prrafodelista"/>
        <w:numPr>
          <w:ilvl w:val="0"/>
          <w:numId w:val="9"/>
        </w:numPr>
        <w:jc w:val="both"/>
        <w:rPr>
          <w:rFonts w:ascii="Arial" w:hAnsi="Arial" w:cs="Arial"/>
          <w:b/>
          <w:sz w:val="24"/>
          <w:szCs w:val="24"/>
          <w:lang w:val="es-UY"/>
        </w:rPr>
      </w:pPr>
      <w:r w:rsidRPr="00D83AF7">
        <w:rPr>
          <w:rFonts w:ascii="Arial" w:hAnsi="Arial" w:cs="Arial"/>
          <w:b/>
          <w:sz w:val="24"/>
          <w:szCs w:val="24"/>
          <w:lang w:val="es-UY"/>
        </w:rPr>
        <w:t>Introducción</w:t>
      </w:r>
    </w:p>
    <w:p w14:paraId="4175F450" w14:textId="77777777" w:rsidR="005A7542" w:rsidRPr="00D83AF7" w:rsidRDefault="005A7542" w:rsidP="005A7542">
      <w:pPr>
        <w:pStyle w:val="Prrafodelista"/>
        <w:ind w:left="1080"/>
        <w:jc w:val="both"/>
        <w:rPr>
          <w:rFonts w:ascii="Arial" w:hAnsi="Arial" w:cs="Arial"/>
          <w:b/>
          <w:sz w:val="24"/>
          <w:szCs w:val="24"/>
          <w:lang w:val="es-UY"/>
        </w:rPr>
      </w:pPr>
    </w:p>
    <w:p w14:paraId="0EFE9EA3" w14:textId="12E1707A" w:rsidR="005A7542" w:rsidRPr="00D83AF7" w:rsidRDefault="005A7542" w:rsidP="005A7542">
      <w:pPr>
        <w:pStyle w:val="Prrafodelista"/>
        <w:numPr>
          <w:ilvl w:val="0"/>
          <w:numId w:val="9"/>
        </w:numPr>
        <w:jc w:val="both"/>
        <w:rPr>
          <w:rFonts w:ascii="Arial" w:hAnsi="Arial" w:cs="Arial"/>
          <w:b/>
          <w:sz w:val="24"/>
          <w:szCs w:val="24"/>
          <w:lang w:val="es-UY"/>
        </w:rPr>
      </w:pPr>
      <w:r w:rsidRPr="00D83AF7">
        <w:rPr>
          <w:rFonts w:ascii="Arial" w:hAnsi="Arial" w:cs="Arial"/>
          <w:b/>
          <w:sz w:val="24"/>
          <w:szCs w:val="24"/>
          <w:lang w:val="es-UY"/>
        </w:rPr>
        <w:t>Tras la genealogía de la noción de “debida diligencia”</w:t>
      </w:r>
    </w:p>
    <w:p w14:paraId="23C11601" w14:textId="77777777" w:rsidR="005A7542" w:rsidRPr="00D83AF7" w:rsidRDefault="005A7542" w:rsidP="005A7542">
      <w:pPr>
        <w:pStyle w:val="Prrafodelista"/>
        <w:ind w:left="1080"/>
        <w:jc w:val="both"/>
        <w:rPr>
          <w:rFonts w:ascii="Arial" w:hAnsi="Arial" w:cs="Arial"/>
          <w:sz w:val="24"/>
          <w:szCs w:val="24"/>
          <w:lang w:val="es-UY"/>
        </w:rPr>
      </w:pPr>
    </w:p>
    <w:p w14:paraId="5AE491F3" w14:textId="342A8E58" w:rsidR="005A7542" w:rsidRPr="00D83AF7" w:rsidRDefault="005A7542" w:rsidP="005A7542">
      <w:pPr>
        <w:pStyle w:val="Prrafodelista"/>
        <w:ind w:left="1080"/>
        <w:jc w:val="both"/>
        <w:rPr>
          <w:rFonts w:ascii="Arial" w:hAnsi="Arial" w:cs="Arial"/>
          <w:sz w:val="24"/>
          <w:szCs w:val="24"/>
          <w:lang w:val="es-UY"/>
        </w:rPr>
      </w:pPr>
      <w:r w:rsidRPr="00D83AF7">
        <w:rPr>
          <w:rFonts w:ascii="Arial" w:hAnsi="Arial" w:cs="Arial"/>
          <w:sz w:val="24"/>
          <w:szCs w:val="24"/>
          <w:lang w:val="es-UY"/>
        </w:rPr>
        <w:t>II.1 Debida diligencia en la jurisprudencia de la Corte Interamericana de Derechos Humanos</w:t>
      </w:r>
    </w:p>
    <w:p w14:paraId="5FA395C4" w14:textId="4BAD23E5" w:rsidR="005A7542" w:rsidRPr="00D83AF7" w:rsidRDefault="005A7542" w:rsidP="005A7542">
      <w:pPr>
        <w:pStyle w:val="Prrafodelista"/>
        <w:ind w:left="1080"/>
        <w:jc w:val="both"/>
        <w:rPr>
          <w:rFonts w:ascii="Arial" w:hAnsi="Arial" w:cs="Arial"/>
          <w:sz w:val="24"/>
          <w:szCs w:val="24"/>
          <w:lang w:val="es-UY"/>
        </w:rPr>
      </w:pPr>
      <w:r w:rsidRPr="00D83AF7">
        <w:rPr>
          <w:rFonts w:ascii="Arial" w:hAnsi="Arial" w:cs="Arial"/>
          <w:sz w:val="24"/>
          <w:szCs w:val="24"/>
          <w:lang w:val="es-UY"/>
        </w:rPr>
        <w:t>II.2 La debida diligencia en el marco de los instrumentos internacionales sobre conducta social o respons</w:t>
      </w:r>
      <w:r w:rsidR="00D83AF7">
        <w:rPr>
          <w:rFonts w:ascii="Arial" w:hAnsi="Arial" w:cs="Arial"/>
          <w:sz w:val="24"/>
          <w:szCs w:val="24"/>
          <w:lang w:val="es-UY"/>
        </w:rPr>
        <w:t>a</w:t>
      </w:r>
      <w:r w:rsidRPr="00D83AF7">
        <w:rPr>
          <w:rFonts w:ascii="Arial" w:hAnsi="Arial" w:cs="Arial"/>
          <w:sz w:val="24"/>
          <w:szCs w:val="24"/>
          <w:lang w:val="es-UY"/>
        </w:rPr>
        <w:t>ble de las empresas</w:t>
      </w:r>
    </w:p>
    <w:p w14:paraId="652A73A2" w14:textId="77777777" w:rsidR="005A7542" w:rsidRPr="00D83AF7" w:rsidRDefault="005A7542" w:rsidP="005A7542">
      <w:pPr>
        <w:pStyle w:val="Prrafodelista"/>
        <w:ind w:left="1080"/>
        <w:jc w:val="both"/>
        <w:rPr>
          <w:rFonts w:ascii="Arial" w:hAnsi="Arial" w:cs="Arial"/>
          <w:i/>
          <w:sz w:val="20"/>
          <w:szCs w:val="20"/>
          <w:lang w:val="es-UY"/>
        </w:rPr>
      </w:pPr>
    </w:p>
    <w:p w14:paraId="021FA4B5" w14:textId="27186B47" w:rsidR="005A7542" w:rsidRPr="00D83AF7" w:rsidRDefault="005A7542" w:rsidP="005A7542">
      <w:pPr>
        <w:pStyle w:val="Prrafodelista"/>
        <w:ind w:left="1560"/>
        <w:jc w:val="both"/>
        <w:rPr>
          <w:rFonts w:ascii="Arial" w:hAnsi="Arial" w:cs="Arial"/>
          <w:i/>
          <w:sz w:val="20"/>
          <w:szCs w:val="20"/>
          <w:lang w:val="es-UY"/>
        </w:rPr>
      </w:pPr>
      <w:r w:rsidRPr="00D83AF7">
        <w:rPr>
          <w:rFonts w:ascii="Arial" w:hAnsi="Arial" w:cs="Arial"/>
          <w:i/>
          <w:sz w:val="20"/>
          <w:szCs w:val="20"/>
          <w:lang w:val="es-UY"/>
        </w:rPr>
        <w:t>II.2.1 Los “Principios Rectores” de las Naciones Unidas y otros instrumentos no vinculantes</w:t>
      </w:r>
    </w:p>
    <w:p w14:paraId="3AAD5812" w14:textId="46DC715C" w:rsidR="005A7542" w:rsidRPr="00D83AF7" w:rsidRDefault="005A7542" w:rsidP="005A7542">
      <w:pPr>
        <w:pStyle w:val="Prrafodelista"/>
        <w:ind w:left="1560"/>
        <w:jc w:val="both"/>
        <w:rPr>
          <w:rFonts w:ascii="Arial" w:hAnsi="Arial" w:cs="Arial"/>
          <w:i/>
          <w:sz w:val="20"/>
          <w:szCs w:val="20"/>
          <w:lang w:val="es-UY"/>
        </w:rPr>
      </w:pPr>
      <w:r w:rsidRPr="00D83AF7">
        <w:rPr>
          <w:rFonts w:ascii="Arial" w:hAnsi="Arial" w:cs="Arial"/>
          <w:i/>
          <w:sz w:val="20"/>
          <w:szCs w:val="20"/>
          <w:lang w:val="es-UY"/>
        </w:rPr>
        <w:t>II.2.2 Ejes del debate en el borrador de tratado vinculante sobre empresas y Derechos Humanos</w:t>
      </w:r>
    </w:p>
    <w:p w14:paraId="16DD679B" w14:textId="557BE1B6" w:rsidR="005A7542" w:rsidRPr="00D83AF7" w:rsidRDefault="005A7542" w:rsidP="005A7542">
      <w:pPr>
        <w:pStyle w:val="Prrafodelista"/>
        <w:ind w:left="1560"/>
        <w:jc w:val="both"/>
        <w:rPr>
          <w:rFonts w:ascii="Arial" w:hAnsi="Arial" w:cs="Arial"/>
          <w:i/>
          <w:sz w:val="20"/>
          <w:szCs w:val="20"/>
          <w:lang w:val="es-UY"/>
        </w:rPr>
      </w:pPr>
      <w:r w:rsidRPr="00D83AF7">
        <w:rPr>
          <w:rFonts w:ascii="Arial" w:hAnsi="Arial" w:cs="Arial"/>
          <w:i/>
          <w:sz w:val="20"/>
          <w:szCs w:val="20"/>
          <w:lang w:val="es-UY"/>
        </w:rPr>
        <w:t>II.2.3 Una muestra de respuestas nacionales: la ley francesa</w:t>
      </w:r>
      <w:r w:rsidR="00765830">
        <w:rPr>
          <w:rFonts w:ascii="Arial" w:hAnsi="Arial" w:cs="Arial"/>
          <w:i/>
          <w:sz w:val="20"/>
          <w:szCs w:val="20"/>
          <w:lang w:val="es-UY"/>
        </w:rPr>
        <w:t xml:space="preserve"> de 2017</w:t>
      </w:r>
    </w:p>
    <w:p w14:paraId="0268F8B1" w14:textId="77777777" w:rsidR="005A7542" w:rsidRPr="00D83AF7" w:rsidRDefault="005A7542" w:rsidP="005A7542">
      <w:pPr>
        <w:pStyle w:val="Prrafodelista"/>
        <w:ind w:left="1560"/>
        <w:jc w:val="both"/>
        <w:rPr>
          <w:rFonts w:ascii="Arial" w:hAnsi="Arial" w:cs="Arial"/>
          <w:i/>
          <w:sz w:val="20"/>
          <w:szCs w:val="20"/>
          <w:lang w:val="es-UY"/>
        </w:rPr>
      </w:pPr>
    </w:p>
    <w:p w14:paraId="2B4D0D34" w14:textId="7D32348A" w:rsidR="005A7542" w:rsidRPr="00D83AF7" w:rsidRDefault="005A7542" w:rsidP="005A7542">
      <w:pPr>
        <w:pStyle w:val="Prrafodelista"/>
        <w:numPr>
          <w:ilvl w:val="0"/>
          <w:numId w:val="9"/>
        </w:numPr>
        <w:jc w:val="both"/>
        <w:rPr>
          <w:rFonts w:ascii="Arial" w:hAnsi="Arial" w:cs="Arial"/>
          <w:b/>
          <w:sz w:val="24"/>
          <w:szCs w:val="24"/>
          <w:lang w:val="es-UY"/>
        </w:rPr>
      </w:pPr>
      <w:r w:rsidRPr="00D83AF7">
        <w:rPr>
          <w:rFonts w:ascii="Arial" w:hAnsi="Arial" w:cs="Arial"/>
          <w:b/>
          <w:sz w:val="24"/>
          <w:szCs w:val="24"/>
          <w:lang w:val="es-UY"/>
        </w:rPr>
        <w:t>¿Obligaciones de medios o de resultado?</w:t>
      </w:r>
    </w:p>
    <w:p w14:paraId="218D2FF4" w14:textId="77777777" w:rsidR="005A7542" w:rsidRPr="00D83AF7" w:rsidRDefault="005A7542" w:rsidP="005A7542">
      <w:pPr>
        <w:pStyle w:val="Prrafodelista"/>
        <w:ind w:left="1080"/>
        <w:jc w:val="both"/>
        <w:rPr>
          <w:rFonts w:ascii="Arial" w:hAnsi="Arial" w:cs="Arial"/>
          <w:b/>
          <w:sz w:val="24"/>
          <w:szCs w:val="24"/>
          <w:lang w:val="es-UY"/>
        </w:rPr>
      </w:pPr>
    </w:p>
    <w:p w14:paraId="101950CE" w14:textId="0226B227" w:rsidR="005A7542" w:rsidRDefault="005A7542" w:rsidP="005A7542">
      <w:pPr>
        <w:pStyle w:val="Prrafodelista"/>
        <w:numPr>
          <w:ilvl w:val="0"/>
          <w:numId w:val="9"/>
        </w:numPr>
        <w:jc w:val="both"/>
        <w:rPr>
          <w:rFonts w:ascii="Arial" w:hAnsi="Arial" w:cs="Arial"/>
          <w:b/>
          <w:sz w:val="24"/>
          <w:szCs w:val="24"/>
          <w:lang w:val="es-UY"/>
        </w:rPr>
      </w:pPr>
      <w:r w:rsidRPr="00D83AF7">
        <w:rPr>
          <w:rFonts w:ascii="Arial" w:hAnsi="Arial" w:cs="Arial"/>
          <w:b/>
          <w:sz w:val="24"/>
          <w:szCs w:val="24"/>
          <w:lang w:val="es-UY"/>
        </w:rPr>
        <w:t>Consideraciones finales</w:t>
      </w:r>
    </w:p>
    <w:p w14:paraId="6B25B17B" w14:textId="77777777" w:rsidR="005722A8" w:rsidRPr="005722A8" w:rsidRDefault="005722A8" w:rsidP="005722A8">
      <w:pPr>
        <w:pStyle w:val="Prrafodelista"/>
        <w:rPr>
          <w:rFonts w:ascii="Arial" w:hAnsi="Arial" w:cs="Arial"/>
          <w:sz w:val="24"/>
          <w:szCs w:val="24"/>
          <w:lang w:val="es-UY"/>
        </w:rPr>
      </w:pPr>
    </w:p>
    <w:p w14:paraId="68A3B362" w14:textId="5A7B1040" w:rsidR="005722A8" w:rsidRPr="005722A8" w:rsidRDefault="005722A8" w:rsidP="005722A8">
      <w:pPr>
        <w:pStyle w:val="Prrafodelista"/>
        <w:ind w:left="1080"/>
        <w:jc w:val="both"/>
        <w:rPr>
          <w:rFonts w:ascii="Arial" w:hAnsi="Arial" w:cs="Arial"/>
          <w:sz w:val="24"/>
          <w:szCs w:val="24"/>
          <w:lang w:val="es-UY"/>
        </w:rPr>
      </w:pPr>
      <w:r w:rsidRPr="005722A8">
        <w:rPr>
          <w:rFonts w:ascii="Arial" w:hAnsi="Arial" w:cs="Arial"/>
          <w:sz w:val="24"/>
          <w:szCs w:val="24"/>
          <w:lang w:val="es-UY"/>
        </w:rPr>
        <w:t>IV.1 Ambigüedad terminológica</w:t>
      </w:r>
    </w:p>
    <w:p w14:paraId="0D6AEFB8" w14:textId="63A66AED" w:rsidR="005722A8" w:rsidRPr="005722A8" w:rsidRDefault="005722A8" w:rsidP="005722A8">
      <w:pPr>
        <w:pStyle w:val="Prrafodelista"/>
        <w:ind w:left="1080"/>
        <w:jc w:val="both"/>
        <w:rPr>
          <w:rFonts w:ascii="Arial" w:hAnsi="Arial" w:cs="Arial"/>
          <w:sz w:val="24"/>
          <w:szCs w:val="24"/>
          <w:lang w:val="es-UY"/>
        </w:rPr>
      </w:pPr>
      <w:r w:rsidRPr="005722A8">
        <w:rPr>
          <w:rFonts w:ascii="Arial" w:hAnsi="Arial" w:cs="Arial"/>
          <w:sz w:val="24"/>
          <w:szCs w:val="24"/>
          <w:lang w:val="es-UY"/>
        </w:rPr>
        <w:t>IV.2 Insuficiencia de la obligación negativa</w:t>
      </w:r>
    </w:p>
    <w:p w14:paraId="7104E3DC" w14:textId="67D3D645" w:rsidR="005722A8" w:rsidRPr="005722A8" w:rsidRDefault="005722A8" w:rsidP="005722A8">
      <w:pPr>
        <w:pStyle w:val="Prrafodelista"/>
        <w:ind w:left="1080"/>
        <w:jc w:val="both"/>
        <w:rPr>
          <w:rFonts w:ascii="Arial" w:hAnsi="Arial" w:cs="Arial"/>
          <w:sz w:val="24"/>
          <w:szCs w:val="24"/>
          <w:lang w:val="es-UY"/>
        </w:rPr>
      </w:pPr>
      <w:r w:rsidRPr="005722A8">
        <w:rPr>
          <w:rFonts w:ascii="Arial" w:hAnsi="Arial" w:cs="Arial"/>
          <w:sz w:val="24"/>
          <w:szCs w:val="24"/>
          <w:lang w:val="es-UY"/>
        </w:rPr>
        <w:t xml:space="preserve">IV.3 Recepción </w:t>
      </w:r>
      <w:r>
        <w:rPr>
          <w:rFonts w:ascii="Arial" w:hAnsi="Arial" w:cs="Arial"/>
          <w:sz w:val="24"/>
          <w:szCs w:val="24"/>
          <w:lang w:val="es-UY"/>
        </w:rPr>
        <w:t xml:space="preserve">del concepto de debida diligencia </w:t>
      </w:r>
      <w:r w:rsidRPr="005722A8">
        <w:rPr>
          <w:rFonts w:ascii="Arial" w:hAnsi="Arial" w:cs="Arial"/>
          <w:sz w:val="24"/>
          <w:szCs w:val="24"/>
          <w:lang w:val="es-UY"/>
        </w:rPr>
        <w:t>por la dogmática</w:t>
      </w:r>
      <w:r>
        <w:rPr>
          <w:rFonts w:ascii="Arial" w:hAnsi="Arial" w:cs="Arial"/>
          <w:sz w:val="24"/>
          <w:szCs w:val="24"/>
          <w:lang w:val="es-UY"/>
        </w:rPr>
        <w:t xml:space="preserve"> laboral</w:t>
      </w:r>
      <w:r w:rsidRPr="005722A8">
        <w:rPr>
          <w:rFonts w:ascii="Arial" w:hAnsi="Arial" w:cs="Arial"/>
          <w:sz w:val="24"/>
          <w:szCs w:val="24"/>
          <w:lang w:val="es-UY"/>
        </w:rPr>
        <w:t xml:space="preserve"> </w:t>
      </w:r>
    </w:p>
    <w:p w14:paraId="54B0B1B8" w14:textId="77777777" w:rsidR="00D83AF7" w:rsidRPr="00D83AF7" w:rsidRDefault="00D83AF7" w:rsidP="00D83AF7">
      <w:pPr>
        <w:pStyle w:val="Prrafodelista"/>
        <w:rPr>
          <w:rFonts w:ascii="Arial" w:hAnsi="Arial" w:cs="Arial"/>
          <w:b/>
          <w:sz w:val="24"/>
          <w:szCs w:val="24"/>
          <w:lang w:val="es-UY"/>
        </w:rPr>
      </w:pPr>
    </w:p>
    <w:p w14:paraId="4C46D6F1" w14:textId="77777777" w:rsidR="00D83AF7" w:rsidRDefault="00D83AF7" w:rsidP="00D83AF7">
      <w:pPr>
        <w:pStyle w:val="Prrafodelista"/>
        <w:ind w:left="1080"/>
        <w:jc w:val="both"/>
        <w:rPr>
          <w:rFonts w:ascii="Arial" w:hAnsi="Arial" w:cs="Arial"/>
          <w:b/>
          <w:sz w:val="24"/>
          <w:szCs w:val="24"/>
          <w:lang w:val="es-UY"/>
        </w:rPr>
      </w:pPr>
    </w:p>
    <w:p w14:paraId="4B9D64A5" w14:textId="77777777" w:rsidR="005722A8" w:rsidRDefault="005722A8" w:rsidP="00D83AF7">
      <w:pPr>
        <w:pStyle w:val="Prrafodelista"/>
        <w:ind w:left="1080"/>
        <w:jc w:val="both"/>
        <w:rPr>
          <w:rFonts w:ascii="Arial" w:hAnsi="Arial" w:cs="Arial"/>
          <w:b/>
          <w:sz w:val="24"/>
          <w:szCs w:val="24"/>
          <w:lang w:val="es-UY"/>
        </w:rPr>
      </w:pPr>
    </w:p>
    <w:p w14:paraId="702AF351" w14:textId="77777777" w:rsidR="005722A8" w:rsidRDefault="005722A8" w:rsidP="00D83AF7">
      <w:pPr>
        <w:pStyle w:val="Prrafodelista"/>
        <w:ind w:left="1080"/>
        <w:jc w:val="both"/>
        <w:rPr>
          <w:rFonts w:ascii="Arial" w:hAnsi="Arial" w:cs="Arial"/>
          <w:b/>
          <w:sz w:val="24"/>
          <w:szCs w:val="24"/>
          <w:lang w:val="es-UY"/>
        </w:rPr>
      </w:pPr>
    </w:p>
    <w:p w14:paraId="3AC5616A" w14:textId="77777777" w:rsidR="005722A8" w:rsidRDefault="005722A8" w:rsidP="00D83AF7">
      <w:pPr>
        <w:pStyle w:val="Prrafodelista"/>
        <w:ind w:left="1080"/>
        <w:jc w:val="both"/>
        <w:rPr>
          <w:rFonts w:ascii="Arial" w:hAnsi="Arial" w:cs="Arial"/>
          <w:b/>
          <w:sz w:val="24"/>
          <w:szCs w:val="24"/>
          <w:lang w:val="es-UY"/>
        </w:rPr>
      </w:pPr>
    </w:p>
    <w:p w14:paraId="708223BC" w14:textId="2BDBC365" w:rsidR="005A7542" w:rsidRPr="00765830" w:rsidRDefault="005A7542" w:rsidP="00D83AF7">
      <w:pPr>
        <w:pStyle w:val="Prrafodelista"/>
        <w:numPr>
          <w:ilvl w:val="0"/>
          <w:numId w:val="10"/>
        </w:numPr>
        <w:jc w:val="center"/>
        <w:rPr>
          <w:rFonts w:ascii="Arial" w:hAnsi="Arial" w:cs="Arial"/>
          <w:b/>
          <w:sz w:val="24"/>
          <w:szCs w:val="24"/>
          <w:lang w:val="es-UY"/>
        </w:rPr>
      </w:pPr>
      <w:r w:rsidRPr="00765830">
        <w:rPr>
          <w:rFonts w:ascii="Arial" w:hAnsi="Arial" w:cs="Arial"/>
          <w:b/>
          <w:sz w:val="24"/>
          <w:szCs w:val="24"/>
          <w:lang w:val="es-UY"/>
        </w:rPr>
        <w:t>Introducción</w:t>
      </w:r>
    </w:p>
    <w:p w14:paraId="28E3CA04" w14:textId="77777777" w:rsidR="005A7542" w:rsidRPr="00517388" w:rsidRDefault="005A7542" w:rsidP="005A7542">
      <w:pPr>
        <w:pStyle w:val="Prrafodelista"/>
        <w:ind w:left="1080"/>
        <w:jc w:val="both"/>
        <w:rPr>
          <w:rFonts w:ascii="Arial" w:hAnsi="Arial" w:cs="Arial"/>
          <w:b/>
          <w:sz w:val="24"/>
          <w:szCs w:val="24"/>
        </w:rPr>
      </w:pPr>
    </w:p>
    <w:p w14:paraId="3E59D508" w14:textId="174E7A30" w:rsidR="000F2517" w:rsidRPr="00517388" w:rsidRDefault="000F2517" w:rsidP="00AB64B1">
      <w:pPr>
        <w:jc w:val="both"/>
        <w:rPr>
          <w:rFonts w:ascii="Arial" w:hAnsi="Arial" w:cs="Arial"/>
          <w:sz w:val="24"/>
          <w:szCs w:val="24"/>
        </w:rPr>
      </w:pPr>
      <w:r w:rsidRPr="00517388">
        <w:rPr>
          <w:rFonts w:ascii="Arial" w:hAnsi="Arial" w:cs="Arial"/>
          <w:sz w:val="24"/>
          <w:szCs w:val="24"/>
        </w:rPr>
        <w:t>El objeto de esta contribución es interrogarnos sobre la significación del uso del término “debida diligencia” en el campo del derecho del trabajo.</w:t>
      </w:r>
    </w:p>
    <w:p w14:paraId="6C99D2A5" w14:textId="33D4A876" w:rsidR="00C13BED" w:rsidRDefault="000F2517" w:rsidP="00AB64B1">
      <w:pPr>
        <w:jc w:val="both"/>
        <w:rPr>
          <w:rFonts w:ascii="Arial" w:hAnsi="Arial" w:cs="Arial"/>
          <w:sz w:val="24"/>
          <w:szCs w:val="24"/>
        </w:rPr>
      </w:pPr>
      <w:r w:rsidRPr="00517388">
        <w:rPr>
          <w:rFonts w:ascii="Arial" w:hAnsi="Arial" w:cs="Arial"/>
          <w:sz w:val="24"/>
          <w:szCs w:val="24"/>
        </w:rPr>
        <w:t xml:space="preserve">En </w:t>
      </w:r>
      <w:r w:rsidR="00AB64B1" w:rsidRPr="00517388">
        <w:rPr>
          <w:rFonts w:ascii="Arial" w:hAnsi="Arial" w:cs="Arial"/>
          <w:sz w:val="24"/>
          <w:szCs w:val="24"/>
        </w:rPr>
        <w:t xml:space="preserve">una primera aproximación, </w:t>
      </w:r>
      <w:r w:rsidRPr="00517388">
        <w:rPr>
          <w:rFonts w:ascii="Arial" w:hAnsi="Arial" w:cs="Arial"/>
          <w:sz w:val="24"/>
          <w:szCs w:val="24"/>
        </w:rPr>
        <w:t>semeja tratarse de una locución itinerante, que</w:t>
      </w:r>
      <w:r w:rsidR="00AB64B1" w:rsidRPr="00517388">
        <w:rPr>
          <w:rFonts w:ascii="Arial" w:hAnsi="Arial" w:cs="Arial"/>
          <w:sz w:val="24"/>
          <w:szCs w:val="24"/>
        </w:rPr>
        <w:t xml:space="preserve"> partiendo del ámbito del derecho internacional referido a las </w:t>
      </w:r>
      <w:r w:rsidR="00765830" w:rsidRPr="00517388">
        <w:rPr>
          <w:rFonts w:ascii="Arial" w:hAnsi="Arial" w:cs="Arial"/>
          <w:sz w:val="24"/>
          <w:szCs w:val="24"/>
        </w:rPr>
        <w:t xml:space="preserve">obligaciones de los Estado respecto de las </w:t>
      </w:r>
      <w:r w:rsidR="00AB64B1" w:rsidRPr="00517388">
        <w:rPr>
          <w:rFonts w:ascii="Arial" w:hAnsi="Arial" w:cs="Arial"/>
          <w:sz w:val="24"/>
          <w:szCs w:val="24"/>
        </w:rPr>
        <w:t xml:space="preserve">violaciones más </w:t>
      </w:r>
      <w:r w:rsidR="00765830" w:rsidRPr="00517388">
        <w:rPr>
          <w:rFonts w:ascii="Arial" w:hAnsi="Arial" w:cs="Arial"/>
          <w:sz w:val="24"/>
          <w:szCs w:val="24"/>
        </w:rPr>
        <w:t>graves a los Derechos Humanos</w:t>
      </w:r>
      <w:r w:rsidR="00877E39" w:rsidRPr="00517388">
        <w:rPr>
          <w:rFonts w:ascii="Arial" w:hAnsi="Arial" w:cs="Arial"/>
          <w:sz w:val="24"/>
          <w:szCs w:val="24"/>
        </w:rPr>
        <w:t xml:space="preserve"> (en adelante, DDHH)</w:t>
      </w:r>
      <w:r w:rsidR="00765830" w:rsidRPr="00517388">
        <w:rPr>
          <w:rFonts w:ascii="Arial" w:hAnsi="Arial" w:cs="Arial"/>
          <w:sz w:val="24"/>
          <w:szCs w:val="24"/>
        </w:rPr>
        <w:t xml:space="preserve"> y a </w:t>
      </w:r>
      <w:r w:rsidR="00AB64B1" w:rsidRPr="00517388">
        <w:rPr>
          <w:rFonts w:ascii="Arial" w:hAnsi="Arial" w:cs="Arial"/>
          <w:sz w:val="24"/>
          <w:szCs w:val="24"/>
        </w:rPr>
        <w:t xml:space="preserve">las construcciones </w:t>
      </w:r>
      <w:r w:rsidR="00765830" w:rsidRPr="00517388">
        <w:rPr>
          <w:rFonts w:ascii="Arial" w:hAnsi="Arial" w:cs="Arial"/>
          <w:sz w:val="24"/>
          <w:szCs w:val="24"/>
        </w:rPr>
        <w:t xml:space="preserve">jurisprudenciales </w:t>
      </w:r>
      <w:r w:rsidR="00AB64B1" w:rsidRPr="00517388">
        <w:rPr>
          <w:rFonts w:ascii="Arial" w:hAnsi="Arial" w:cs="Arial"/>
          <w:sz w:val="24"/>
          <w:szCs w:val="24"/>
        </w:rPr>
        <w:t>de los órganos de control, va ampliando su alcance has</w:t>
      </w:r>
      <w:r w:rsidR="00765830" w:rsidRPr="00517388">
        <w:rPr>
          <w:rFonts w:ascii="Arial" w:hAnsi="Arial" w:cs="Arial"/>
          <w:sz w:val="24"/>
          <w:szCs w:val="24"/>
        </w:rPr>
        <w:t xml:space="preserve">ta comprender otras dimensiones de los derechos, para </w:t>
      </w:r>
      <w:r w:rsidR="00AB64B1" w:rsidRPr="00517388">
        <w:rPr>
          <w:rFonts w:ascii="Arial" w:hAnsi="Arial" w:cs="Arial"/>
          <w:sz w:val="24"/>
          <w:szCs w:val="24"/>
        </w:rPr>
        <w:t xml:space="preserve">finalmente anclar en iniciativas del </w:t>
      </w:r>
      <w:r w:rsidR="00765830" w:rsidRPr="00517388">
        <w:rPr>
          <w:rFonts w:ascii="Arial" w:hAnsi="Arial" w:cs="Arial"/>
          <w:sz w:val="24"/>
          <w:szCs w:val="24"/>
        </w:rPr>
        <w:t>“</w:t>
      </w:r>
      <w:r w:rsidR="00AB64B1" w:rsidRPr="00517388">
        <w:rPr>
          <w:rFonts w:ascii="Arial" w:hAnsi="Arial" w:cs="Arial"/>
          <w:sz w:val="24"/>
          <w:szCs w:val="24"/>
        </w:rPr>
        <w:t>derecho débil</w:t>
      </w:r>
      <w:r w:rsidR="00765830" w:rsidRPr="00517388">
        <w:rPr>
          <w:rFonts w:ascii="Arial" w:hAnsi="Arial" w:cs="Arial"/>
          <w:sz w:val="24"/>
          <w:szCs w:val="24"/>
        </w:rPr>
        <w:t>”</w:t>
      </w:r>
      <w:r w:rsidR="00AB64B1" w:rsidRPr="00517388">
        <w:rPr>
          <w:rFonts w:ascii="Arial" w:hAnsi="Arial" w:cs="Arial"/>
          <w:sz w:val="24"/>
          <w:szCs w:val="24"/>
        </w:rPr>
        <w:t xml:space="preserve"> (soft), </w:t>
      </w:r>
      <w:r w:rsidR="00765830" w:rsidRPr="00517388">
        <w:rPr>
          <w:rFonts w:ascii="Arial" w:hAnsi="Arial" w:cs="Arial"/>
          <w:sz w:val="24"/>
          <w:szCs w:val="24"/>
        </w:rPr>
        <w:t xml:space="preserve">como son las </w:t>
      </w:r>
      <w:r w:rsidR="00AB64B1" w:rsidRPr="00517388">
        <w:rPr>
          <w:rFonts w:ascii="Arial" w:hAnsi="Arial" w:cs="Arial"/>
          <w:sz w:val="24"/>
          <w:szCs w:val="24"/>
        </w:rPr>
        <w:t xml:space="preserve">Declaraciones de </w:t>
      </w:r>
      <w:r w:rsidR="00765830" w:rsidRPr="00517388">
        <w:rPr>
          <w:rFonts w:ascii="Arial" w:hAnsi="Arial" w:cs="Arial"/>
          <w:sz w:val="24"/>
          <w:szCs w:val="24"/>
        </w:rPr>
        <w:t>P</w:t>
      </w:r>
      <w:r w:rsidR="00AB64B1" w:rsidRPr="00517388">
        <w:rPr>
          <w:rFonts w:ascii="Arial" w:hAnsi="Arial" w:cs="Arial"/>
          <w:sz w:val="24"/>
          <w:szCs w:val="24"/>
        </w:rPr>
        <w:t xml:space="preserve">rincipios, </w:t>
      </w:r>
      <w:r w:rsidR="00765830" w:rsidRPr="00517388">
        <w:rPr>
          <w:rFonts w:ascii="Arial" w:hAnsi="Arial" w:cs="Arial"/>
          <w:sz w:val="24"/>
          <w:szCs w:val="24"/>
        </w:rPr>
        <w:t>las Lí</w:t>
      </w:r>
      <w:r w:rsidR="00AB64B1" w:rsidRPr="00517388">
        <w:rPr>
          <w:rFonts w:ascii="Arial" w:hAnsi="Arial" w:cs="Arial"/>
          <w:sz w:val="24"/>
          <w:szCs w:val="24"/>
        </w:rPr>
        <w:t>neas Directrices, etc, para luego figurar en proyectos de tratados vinculantes</w:t>
      </w:r>
      <w:r w:rsidR="00765830" w:rsidRPr="00517388">
        <w:rPr>
          <w:rFonts w:ascii="Arial" w:hAnsi="Arial" w:cs="Arial"/>
          <w:sz w:val="24"/>
          <w:szCs w:val="24"/>
        </w:rPr>
        <w:t xml:space="preserve"> de empresas y D</w:t>
      </w:r>
      <w:r w:rsidR="00877E39" w:rsidRPr="00517388">
        <w:rPr>
          <w:rFonts w:ascii="Arial" w:hAnsi="Arial" w:cs="Arial"/>
          <w:sz w:val="24"/>
          <w:szCs w:val="24"/>
        </w:rPr>
        <w:t>DH</w:t>
      </w:r>
      <w:r w:rsidR="00765830" w:rsidRPr="00517388">
        <w:rPr>
          <w:rFonts w:ascii="Arial" w:hAnsi="Arial" w:cs="Arial"/>
          <w:sz w:val="24"/>
          <w:szCs w:val="24"/>
        </w:rPr>
        <w:t>H</w:t>
      </w:r>
      <w:r w:rsidR="00DD12D8">
        <w:rPr>
          <w:rFonts w:ascii="Arial" w:hAnsi="Arial" w:cs="Arial"/>
          <w:sz w:val="24"/>
          <w:szCs w:val="24"/>
        </w:rPr>
        <w:t>.</w:t>
      </w:r>
      <w:r w:rsidR="00DD12D8">
        <w:rPr>
          <w:rStyle w:val="Refdenotaalpie"/>
          <w:rFonts w:ascii="Arial" w:hAnsi="Arial" w:cs="Arial"/>
          <w:sz w:val="24"/>
          <w:szCs w:val="24"/>
        </w:rPr>
        <w:footnoteReference w:id="2"/>
      </w:r>
      <w:r w:rsidR="00765830" w:rsidRPr="00517388">
        <w:rPr>
          <w:rFonts w:ascii="Arial" w:hAnsi="Arial" w:cs="Arial"/>
          <w:sz w:val="24"/>
          <w:szCs w:val="24"/>
        </w:rPr>
        <w:t xml:space="preserve"> </w:t>
      </w:r>
    </w:p>
    <w:p w14:paraId="4596103A" w14:textId="643304E4" w:rsidR="00FA1307" w:rsidRPr="00517388" w:rsidRDefault="00765830" w:rsidP="00AB64B1">
      <w:pPr>
        <w:jc w:val="both"/>
        <w:rPr>
          <w:rFonts w:ascii="Arial" w:hAnsi="Arial" w:cs="Arial"/>
          <w:sz w:val="24"/>
          <w:szCs w:val="24"/>
        </w:rPr>
      </w:pPr>
      <w:r w:rsidRPr="00517388">
        <w:rPr>
          <w:rFonts w:ascii="Arial" w:hAnsi="Arial" w:cs="Arial"/>
          <w:sz w:val="24"/>
          <w:szCs w:val="24"/>
        </w:rPr>
        <w:t xml:space="preserve">En todo ese trayecto </w:t>
      </w:r>
      <w:r w:rsidR="00AB64B1" w:rsidRPr="00517388">
        <w:rPr>
          <w:rFonts w:ascii="Arial" w:hAnsi="Arial" w:cs="Arial"/>
          <w:sz w:val="24"/>
          <w:szCs w:val="24"/>
        </w:rPr>
        <w:t>provoca incertidumbres y disensos</w:t>
      </w:r>
      <w:r w:rsidRPr="00517388">
        <w:rPr>
          <w:rFonts w:ascii="Arial" w:hAnsi="Arial" w:cs="Arial"/>
          <w:sz w:val="24"/>
          <w:szCs w:val="24"/>
        </w:rPr>
        <w:t>; su contorno conceptual nunca es nítido, pero</w:t>
      </w:r>
      <w:r w:rsidR="00C13BED">
        <w:rPr>
          <w:rFonts w:ascii="Arial" w:hAnsi="Arial" w:cs="Arial"/>
          <w:sz w:val="24"/>
          <w:szCs w:val="24"/>
        </w:rPr>
        <w:t xml:space="preserve"> a la vez, </w:t>
      </w:r>
      <w:r w:rsidRPr="00517388">
        <w:rPr>
          <w:rFonts w:ascii="Arial" w:hAnsi="Arial" w:cs="Arial"/>
          <w:sz w:val="24"/>
          <w:szCs w:val="24"/>
        </w:rPr>
        <w:t xml:space="preserve">su avance hacia el terreno de la regulación </w:t>
      </w:r>
      <w:r w:rsidR="00FA1307" w:rsidRPr="00517388">
        <w:rPr>
          <w:rFonts w:ascii="Arial" w:hAnsi="Arial" w:cs="Arial"/>
          <w:sz w:val="24"/>
          <w:szCs w:val="24"/>
        </w:rPr>
        <w:t>del trabajo no cesa</w:t>
      </w:r>
      <w:r w:rsidR="00C13BED">
        <w:rPr>
          <w:rFonts w:ascii="Arial" w:hAnsi="Arial" w:cs="Arial"/>
          <w:sz w:val="24"/>
          <w:szCs w:val="24"/>
        </w:rPr>
        <w:t>;</w:t>
      </w:r>
      <w:r w:rsidR="00FA1307" w:rsidRPr="00517388">
        <w:rPr>
          <w:rFonts w:ascii="Arial" w:hAnsi="Arial" w:cs="Arial"/>
          <w:sz w:val="24"/>
          <w:szCs w:val="24"/>
        </w:rPr>
        <w:t xml:space="preserve"> comienza a ser receptado por la Organización Internacional del Trabajo e ingresa en </w:t>
      </w:r>
      <w:r w:rsidR="00AB64B1" w:rsidRPr="00517388">
        <w:rPr>
          <w:rFonts w:ascii="Arial" w:hAnsi="Arial" w:cs="Arial"/>
          <w:sz w:val="24"/>
          <w:szCs w:val="24"/>
        </w:rPr>
        <w:t>ordenamientos jurídicos nacionales merced a normas de carácter legal</w:t>
      </w:r>
      <w:r w:rsidR="00FA1307" w:rsidRPr="00517388">
        <w:rPr>
          <w:rFonts w:ascii="Arial" w:hAnsi="Arial" w:cs="Arial"/>
          <w:sz w:val="24"/>
          <w:szCs w:val="24"/>
        </w:rPr>
        <w:t>,</w:t>
      </w:r>
      <w:r w:rsidR="00AB64B1" w:rsidRPr="00517388">
        <w:rPr>
          <w:rFonts w:ascii="Arial" w:hAnsi="Arial" w:cs="Arial"/>
          <w:sz w:val="24"/>
          <w:szCs w:val="24"/>
        </w:rPr>
        <w:t xml:space="preserve"> fundamentalmente </w:t>
      </w:r>
      <w:r w:rsidR="00FA1307" w:rsidRPr="00517388">
        <w:rPr>
          <w:rFonts w:ascii="Arial" w:hAnsi="Arial" w:cs="Arial"/>
          <w:sz w:val="24"/>
          <w:szCs w:val="24"/>
        </w:rPr>
        <w:t xml:space="preserve">en </w:t>
      </w:r>
      <w:r w:rsidR="00AB64B1" w:rsidRPr="00517388">
        <w:rPr>
          <w:rFonts w:ascii="Arial" w:hAnsi="Arial" w:cs="Arial"/>
          <w:sz w:val="24"/>
          <w:szCs w:val="24"/>
        </w:rPr>
        <w:t xml:space="preserve">aquellos </w:t>
      </w:r>
      <w:r w:rsidR="00C13BED">
        <w:rPr>
          <w:rFonts w:ascii="Arial" w:hAnsi="Arial" w:cs="Arial"/>
          <w:sz w:val="24"/>
          <w:szCs w:val="24"/>
        </w:rPr>
        <w:t xml:space="preserve">países </w:t>
      </w:r>
      <w:r w:rsidR="00AB64B1" w:rsidRPr="00517388">
        <w:rPr>
          <w:rFonts w:ascii="Arial" w:hAnsi="Arial" w:cs="Arial"/>
          <w:sz w:val="24"/>
          <w:szCs w:val="24"/>
        </w:rPr>
        <w:t xml:space="preserve">que cuentan con empresas </w:t>
      </w:r>
      <w:r w:rsidR="00346B06" w:rsidRPr="00517388">
        <w:rPr>
          <w:rFonts w:ascii="Arial" w:hAnsi="Arial" w:cs="Arial"/>
          <w:sz w:val="24"/>
          <w:szCs w:val="24"/>
        </w:rPr>
        <w:t>de actividad transnacional</w:t>
      </w:r>
      <w:r w:rsidR="00FA1307" w:rsidRPr="00517388">
        <w:rPr>
          <w:rFonts w:ascii="Arial" w:hAnsi="Arial" w:cs="Arial"/>
          <w:sz w:val="24"/>
          <w:szCs w:val="24"/>
        </w:rPr>
        <w:t>.</w:t>
      </w:r>
    </w:p>
    <w:p w14:paraId="6749C9A9" w14:textId="2A440450" w:rsidR="00A86AE9" w:rsidRPr="00517388" w:rsidRDefault="006A0312" w:rsidP="00AB64B1">
      <w:pPr>
        <w:jc w:val="both"/>
        <w:rPr>
          <w:rFonts w:ascii="Arial" w:hAnsi="Arial" w:cs="Arial"/>
          <w:sz w:val="24"/>
          <w:szCs w:val="24"/>
        </w:rPr>
      </w:pPr>
      <w:r w:rsidRPr="00517388">
        <w:rPr>
          <w:rFonts w:ascii="Arial" w:hAnsi="Arial" w:cs="Arial"/>
          <w:sz w:val="24"/>
          <w:szCs w:val="24"/>
        </w:rPr>
        <w:t>L</w:t>
      </w:r>
      <w:r w:rsidR="00FA1307" w:rsidRPr="00517388">
        <w:rPr>
          <w:rFonts w:ascii="Arial" w:hAnsi="Arial" w:cs="Arial"/>
          <w:sz w:val="24"/>
          <w:szCs w:val="24"/>
        </w:rPr>
        <w:t xml:space="preserve">os propios tribunales internacionales que aplican la debida diligencia reconocen que </w:t>
      </w:r>
      <w:r w:rsidRPr="00517388">
        <w:rPr>
          <w:rFonts w:ascii="Arial" w:hAnsi="Arial" w:cs="Arial"/>
          <w:sz w:val="24"/>
          <w:szCs w:val="24"/>
        </w:rPr>
        <w:t>se trata</w:t>
      </w:r>
      <w:r w:rsidR="00FA1307" w:rsidRPr="00517388">
        <w:rPr>
          <w:rFonts w:ascii="Arial" w:hAnsi="Arial" w:cs="Arial"/>
          <w:sz w:val="24"/>
          <w:szCs w:val="24"/>
        </w:rPr>
        <w:t xml:space="preserve"> </w:t>
      </w:r>
      <w:r w:rsidRPr="00517388">
        <w:rPr>
          <w:rFonts w:ascii="Arial" w:hAnsi="Arial" w:cs="Arial"/>
          <w:sz w:val="24"/>
          <w:szCs w:val="24"/>
        </w:rPr>
        <w:t>de un concepto no suficientemente delimitado</w:t>
      </w:r>
      <w:r w:rsidR="00FA1307" w:rsidRPr="00517388">
        <w:rPr>
          <w:rFonts w:ascii="Arial" w:hAnsi="Arial" w:cs="Arial"/>
          <w:sz w:val="24"/>
          <w:szCs w:val="24"/>
        </w:rPr>
        <w:t xml:space="preserve"> y la consideran </w:t>
      </w:r>
      <w:r w:rsidRPr="00517388">
        <w:rPr>
          <w:rFonts w:ascii="Arial" w:hAnsi="Arial" w:cs="Arial"/>
          <w:sz w:val="24"/>
          <w:szCs w:val="24"/>
        </w:rPr>
        <w:t xml:space="preserve">una categoría </w:t>
      </w:r>
      <w:r w:rsidR="0021316E" w:rsidRPr="00517388">
        <w:rPr>
          <w:rFonts w:ascii="Arial" w:hAnsi="Arial" w:cs="Arial"/>
          <w:sz w:val="24"/>
          <w:szCs w:val="24"/>
        </w:rPr>
        <w:t>flexible</w:t>
      </w:r>
      <w:r w:rsidR="00FA1307" w:rsidRPr="00517388">
        <w:rPr>
          <w:rFonts w:ascii="Arial" w:hAnsi="Arial" w:cs="Arial"/>
          <w:sz w:val="24"/>
          <w:szCs w:val="24"/>
        </w:rPr>
        <w:t>,</w:t>
      </w:r>
      <w:r w:rsidRPr="00517388">
        <w:rPr>
          <w:rFonts w:ascii="Arial" w:hAnsi="Arial" w:cs="Arial"/>
          <w:sz w:val="24"/>
          <w:szCs w:val="24"/>
        </w:rPr>
        <w:t xml:space="preserve"> que no identifica un tipo particular de estándar de cumplimiento de las obligaciones, </w:t>
      </w:r>
      <w:r w:rsidR="00FA1307" w:rsidRPr="00517388">
        <w:rPr>
          <w:rFonts w:ascii="Arial" w:hAnsi="Arial" w:cs="Arial"/>
          <w:sz w:val="24"/>
          <w:szCs w:val="24"/>
        </w:rPr>
        <w:t xml:space="preserve">que </w:t>
      </w:r>
      <w:r w:rsidRPr="00517388">
        <w:rPr>
          <w:rFonts w:ascii="Arial" w:hAnsi="Arial" w:cs="Arial"/>
          <w:sz w:val="24"/>
          <w:szCs w:val="24"/>
        </w:rPr>
        <w:t>a menudo ni siqu</w:t>
      </w:r>
      <w:r w:rsidR="00FA1307" w:rsidRPr="00517388">
        <w:rPr>
          <w:rFonts w:ascii="Arial" w:hAnsi="Arial" w:cs="Arial"/>
          <w:sz w:val="24"/>
          <w:szCs w:val="24"/>
        </w:rPr>
        <w:t>iera se encuentra r</w:t>
      </w:r>
      <w:r w:rsidRPr="00517388">
        <w:rPr>
          <w:rFonts w:ascii="Arial" w:hAnsi="Arial" w:cs="Arial"/>
          <w:sz w:val="24"/>
          <w:szCs w:val="24"/>
        </w:rPr>
        <w:t>eferida de manera expresa y que admite multiplicidad de sentidos y clasificaciones</w:t>
      </w:r>
      <w:r w:rsidR="00FA1307" w:rsidRPr="00517388">
        <w:rPr>
          <w:rFonts w:ascii="Arial" w:hAnsi="Arial" w:cs="Arial"/>
          <w:sz w:val="24"/>
          <w:szCs w:val="24"/>
        </w:rPr>
        <w:t>.</w:t>
      </w:r>
      <w:r w:rsidR="00346B06" w:rsidRPr="00517388">
        <w:rPr>
          <w:rStyle w:val="Refdenotaalpie"/>
          <w:rFonts w:ascii="Arial" w:hAnsi="Arial" w:cs="Arial"/>
          <w:sz w:val="24"/>
          <w:szCs w:val="24"/>
        </w:rPr>
        <w:footnoteReference w:id="3"/>
      </w:r>
    </w:p>
    <w:p w14:paraId="0AE29DB9" w14:textId="6C37603D" w:rsidR="00A86AE9" w:rsidRPr="00517388" w:rsidRDefault="00FA1307" w:rsidP="00AB64B1">
      <w:pPr>
        <w:jc w:val="both"/>
        <w:rPr>
          <w:rFonts w:ascii="Arial" w:hAnsi="Arial" w:cs="Arial"/>
          <w:sz w:val="24"/>
          <w:szCs w:val="24"/>
        </w:rPr>
      </w:pPr>
      <w:r w:rsidRPr="00517388">
        <w:rPr>
          <w:rFonts w:ascii="Arial" w:hAnsi="Arial" w:cs="Arial"/>
          <w:sz w:val="24"/>
          <w:szCs w:val="24"/>
        </w:rPr>
        <w:t xml:space="preserve">Por otra parte, su aplicación al juego de derechos y obligaciones entre sujetos que hacen parte de </w:t>
      </w:r>
      <w:r w:rsidR="00A86AE9" w:rsidRPr="00517388">
        <w:rPr>
          <w:rFonts w:ascii="Arial" w:hAnsi="Arial" w:cs="Arial"/>
          <w:sz w:val="24"/>
          <w:szCs w:val="24"/>
        </w:rPr>
        <w:t xml:space="preserve">relaciones sociales y jurídicas signadas por la desigualdad </w:t>
      </w:r>
      <w:r w:rsidRPr="00517388">
        <w:rPr>
          <w:rFonts w:ascii="Arial" w:hAnsi="Arial" w:cs="Arial"/>
          <w:sz w:val="24"/>
          <w:szCs w:val="24"/>
        </w:rPr>
        <w:t xml:space="preserve">de </w:t>
      </w:r>
      <w:r w:rsidR="00C2068A" w:rsidRPr="00517388">
        <w:rPr>
          <w:rFonts w:ascii="Arial" w:hAnsi="Arial" w:cs="Arial"/>
          <w:sz w:val="24"/>
          <w:szCs w:val="24"/>
        </w:rPr>
        <w:t xml:space="preserve">sus </w:t>
      </w:r>
      <w:r w:rsidRPr="00517388">
        <w:rPr>
          <w:rFonts w:ascii="Arial" w:hAnsi="Arial" w:cs="Arial"/>
          <w:sz w:val="24"/>
          <w:szCs w:val="24"/>
        </w:rPr>
        <w:t xml:space="preserve">posiciones sociales y jurídicas, </w:t>
      </w:r>
      <w:r w:rsidR="00DD12D8">
        <w:rPr>
          <w:rFonts w:ascii="Arial" w:hAnsi="Arial" w:cs="Arial"/>
          <w:sz w:val="24"/>
          <w:szCs w:val="24"/>
        </w:rPr>
        <w:t>hace</w:t>
      </w:r>
      <w:r w:rsidR="00C2068A" w:rsidRPr="00517388">
        <w:rPr>
          <w:rFonts w:ascii="Arial" w:hAnsi="Arial" w:cs="Arial"/>
          <w:sz w:val="24"/>
          <w:szCs w:val="24"/>
        </w:rPr>
        <w:t xml:space="preserve"> que surja una </w:t>
      </w:r>
      <w:r w:rsidRPr="00517388">
        <w:rPr>
          <w:rFonts w:ascii="Arial" w:hAnsi="Arial" w:cs="Arial"/>
          <w:sz w:val="24"/>
          <w:szCs w:val="24"/>
        </w:rPr>
        <w:t xml:space="preserve">segunda </w:t>
      </w:r>
      <w:r w:rsidR="00A86AE9" w:rsidRPr="00517388">
        <w:rPr>
          <w:rFonts w:ascii="Arial" w:hAnsi="Arial" w:cs="Arial"/>
          <w:sz w:val="24"/>
          <w:szCs w:val="24"/>
        </w:rPr>
        <w:t>pregunta</w:t>
      </w:r>
      <w:r w:rsidR="00C2068A" w:rsidRPr="00517388">
        <w:rPr>
          <w:rFonts w:ascii="Arial" w:hAnsi="Arial" w:cs="Arial"/>
          <w:sz w:val="24"/>
          <w:szCs w:val="24"/>
        </w:rPr>
        <w:t xml:space="preserve"> a formularnos, consistente en indagar sobre </w:t>
      </w:r>
      <w:r w:rsidRPr="00517388">
        <w:rPr>
          <w:rFonts w:ascii="Arial" w:hAnsi="Arial" w:cs="Arial"/>
          <w:sz w:val="24"/>
          <w:szCs w:val="24"/>
        </w:rPr>
        <w:t>s</w:t>
      </w:r>
      <w:r w:rsidR="00A86AE9" w:rsidRPr="00517388">
        <w:rPr>
          <w:rFonts w:ascii="Arial" w:hAnsi="Arial" w:cs="Arial"/>
          <w:sz w:val="24"/>
          <w:szCs w:val="24"/>
        </w:rPr>
        <w:t xml:space="preserve">i el estándar exigible de “debida diligencia” </w:t>
      </w:r>
      <w:r w:rsidR="00C2068A" w:rsidRPr="00517388">
        <w:rPr>
          <w:rFonts w:ascii="Arial" w:hAnsi="Arial" w:cs="Arial"/>
          <w:sz w:val="24"/>
          <w:szCs w:val="24"/>
        </w:rPr>
        <w:t>representa a</w:t>
      </w:r>
      <w:r w:rsidR="00A86AE9" w:rsidRPr="00517388">
        <w:rPr>
          <w:rFonts w:ascii="Arial" w:hAnsi="Arial" w:cs="Arial"/>
          <w:sz w:val="24"/>
          <w:szCs w:val="24"/>
        </w:rPr>
        <w:t xml:space="preserve">lgún </w:t>
      </w:r>
      <w:r w:rsidR="00C2068A" w:rsidRPr="00517388">
        <w:rPr>
          <w:rFonts w:ascii="Arial" w:hAnsi="Arial" w:cs="Arial"/>
          <w:sz w:val="24"/>
          <w:szCs w:val="24"/>
        </w:rPr>
        <w:t xml:space="preserve">tipo de obligación accesoria o cualifica o sustituye las obligaciones sustantivas </w:t>
      </w:r>
      <w:r w:rsidR="00A86AE9" w:rsidRPr="00517388">
        <w:rPr>
          <w:rFonts w:ascii="Arial" w:hAnsi="Arial" w:cs="Arial"/>
          <w:sz w:val="24"/>
          <w:szCs w:val="24"/>
        </w:rPr>
        <w:t>en las relaciones individuales y colectivas de trabajo.</w:t>
      </w:r>
    </w:p>
    <w:p w14:paraId="6457A2C5" w14:textId="77777777" w:rsidR="00C2068A" w:rsidRPr="00517388" w:rsidRDefault="00A86AE9" w:rsidP="00AB64B1">
      <w:pPr>
        <w:jc w:val="both"/>
        <w:rPr>
          <w:rFonts w:ascii="Arial" w:hAnsi="Arial" w:cs="Arial"/>
          <w:sz w:val="24"/>
          <w:szCs w:val="24"/>
        </w:rPr>
      </w:pPr>
      <w:r w:rsidRPr="00517388">
        <w:rPr>
          <w:rFonts w:ascii="Arial" w:hAnsi="Arial" w:cs="Arial"/>
          <w:sz w:val="24"/>
          <w:szCs w:val="24"/>
        </w:rPr>
        <w:t>No se trata por tanto de trazar en este lugar un ejercicio diletante y desprovisto de in</w:t>
      </w:r>
      <w:r w:rsidR="00C2068A" w:rsidRPr="00517388">
        <w:rPr>
          <w:rFonts w:ascii="Arial" w:hAnsi="Arial" w:cs="Arial"/>
          <w:sz w:val="24"/>
          <w:szCs w:val="24"/>
        </w:rPr>
        <w:t xml:space="preserve">terés práctico, sino de incursionar </w:t>
      </w:r>
      <w:r w:rsidRPr="00517388">
        <w:rPr>
          <w:rFonts w:ascii="Arial" w:hAnsi="Arial" w:cs="Arial"/>
          <w:sz w:val="24"/>
          <w:szCs w:val="24"/>
        </w:rPr>
        <w:t xml:space="preserve">en la genealogía de los usos del término para después categorizar las formas de su </w:t>
      </w:r>
      <w:r w:rsidR="00C2068A" w:rsidRPr="00517388">
        <w:rPr>
          <w:rFonts w:ascii="Arial" w:hAnsi="Arial" w:cs="Arial"/>
          <w:sz w:val="24"/>
          <w:szCs w:val="24"/>
        </w:rPr>
        <w:t xml:space="preserve">posible </w:t>
      </w:r>
      <w:r w:rsidRPr="00517388">
        <w:rPr>
          <w:rFonts w:ascii="Arial" w:hAnsi="Arial" w:cs="Arial"/>
          <w:sz w:val="24"/>
          <w:szCs w:val="24"/>
        </w:rPr>
        <w:t>recepción en el Derecho del Trabajo</w:t>
      </w:r>
      <w:r w:rsidR="00C2068A" w:rsidRPr="00517388">
        <w:rPr>
          <w:rFonts w:ascii="Arial" w:hAnsi="Arial" w:cs="Arial"/>
          <w:sz w:val="24"/>
          <w:szCs w:val="24"/>
        </w:rPr>
        <w:t>.</w:t>
      </w:r>
    </w:p>
    <w:p w14:paraId="3F48F41D" w14:textId="509E6344" w:rsidR="00A86AE9" w:rsidRPr="00517388" w:rsidRDefault="00C2068A" w:rsidP="00AB64B1">
      <w:pPr>
        <w:jc w:val="both"/>
        <w:rPr>
          <w:rFonts w:ascii="Arial" w:hAnsi="Arial" w:cs="Arial"/>
          <w:sz w:val="24"/>
          <w:szCs w:val="24"/>
        </w:rPr>
      </w:pPr>
      <w:r w:rsidRPr="00517388">
        <w:rPr>
          <w:rFonts w:ascii="Arial" w:hAnsi="Arial" w:cs="Arial"/>
          <w:sz w:val="24"/>
          <w:szCs w:val="24"/>
        </w:rPr>
        <w:lastRenderedPageBreak/>
        <w:t>En este sentido, la búsqueda se desplaza hacia</w:t>
      </w:r>
      <w:r w:rsidR="00DD12D8">
        <w:rPr>
          <w:rFonts w:ascii="Arial" w:hAnsi="Arial" w:cs="Arial"/>
          <w:sz w:val="24"/>
          <w:szCs w:val="24"/>
        </w:rPr>
        <w:t xml:space="preserve"> el examen crítico para </w:t>
      </w:r>
      <w:r w:rsidRPr="00517388">
        <w:rPr>
          <w:rFonts w:ascii="Arial" w:hAnsi="Arial" w:cs="Arial"/>
          <w:sz w:val="24"/>
          <w:szCs w:val="24"/>
        </w:rPr>
        <w:t xml:space="preserve">determinar </w:t>
      </w:r>
      <w:r w:rsidR="00DD12D8">
        <w:rPr>
          <w:rFonts w:ascii="Arial" w:hAnsi="Arial" w:cs="Arial"/>
          <w:sz w:val="24"/>
          <w:szCs w:val="24"/>
        </w:rPr>
        <w:t xml:space="preserve">si estamos ante una irrupción que:  a) </w:t>
      </w:r>
      <w:r w:rsidRPr="00517388">
        <w:rPr>
          <w:rFonts w:ascii="Arial" w:hAnsi="Arial" w:cs="Arial"/>
          <w:sz w:val="24"/>
          <w:szCs w:val="24"/>
        </w:rPr>
        <w:t xml:space="preserve">conduce a </w:t>
      </w:r>
      <w:r w:rsidR="00A86AE9" w:rsidRPr="00517388">
        <w:rPr>
          <w:rFonts w:ascii="Arial" w:hAnsi="Arial" w:cs="Arial"/>
          <w:sz w:val="24"/>
          <w:szCs w:val="24"/>
        </w:rPr>
        <w:t>una asimilación</w:t>
      </w:r>
      <w:r w:rsidRPr="00517388">
        <w:rPr>
          <w:rFonts w:ascii="Arial" w:hAnsi="Arial" w:cs="Arial"/>
          <w:sz w:val="24"/>
          <w:szCs w:val="24"/>
        </w:rPr>
        <w:t xml:space="preserve"> en el ordenamiento jurídico</w:t>
      </w:r>
      <w:r w:rsidR="00DD12D8">
        <w:rPr>
          <w:rFonts w:ascii="Arial" w:hAnsi="Arial" w:cs="Arial"/>
          <w:sz w:val="24"/>
          <w:szCs w:val="24"/>
        </w:rPr>
        <w:t>; b) a</w:t>
      </w:r>
      <w:r w:rsidRPr="00517388">
        <w:rPr>
          <w:rFonts w:ascii="Arial" w:hAnsi="Arial" w:cs="Arial"/>
          <w:sz w:val="24"/>
          <w:szCs w:val="24"/>
        </w:rPr>
        <w:t xml:space="preserve"> una </w:t>
      </w:r>
      <w:r w:rsidR="00A86AE9" w:rsidRPr="00517388">
        <w:rPr>
          <w:rFonts w:ascii="Arial" w:hAnsi="Arial" w:cs="Arial"/>
          <w:sz w:val="24"/>
          <w:szCs w:val="24"/>
        </w:rPr>
        <w:t xml:space="preserve">trasposición </w:t>
      </w:r>
      <w:r w:rsidR="007353BF" w:rsidRPr="00517388">
        <w:rPr>
          <w:rFonts w:ascii="Arial" w:hAnsi="Arial" w:cs="Arial"/>
          <w:sz w:val="24"/>
          <w:szCs w:val="24"/>
        </w:rPr>
        <w:t xml:space="preserve">en el orden de los derechos y obligaciones, </w:t>
      </w:r>
      <w:r w:rsidR="00A86AE9" w:rsidRPr="00517388">
        <w:rPr>
          <w:rFonts w:ascii="Arial" w:hAnsi="Arial" w:cs="Arial"/>
          <w:sz w:val="24"/>
          <w:szCs w:val="24"/>
        </w:rPr>
        <w:t xml:space="preserve">o </w:t>
      </w:r>
      <w:r w:rsidR="00DD12D8">
        <w:rPr>
          <w:rFonts w:ascii="Arial" w:hAnsi="Arial" w:cs="Arial"/>
          <w:sz w:val="24"/>
          <w:szCs w:val="24"/>
        </w:rPr>
        <w:t xml:space="preserve">c) </w:t>
      </w:r>
      <w:r w:rsidR="00A86AE9" w:rsidRPr="00517388">
        <w:rPr>
          <w:rFonts w:ascii="Arial" w:hAnsi="Arial" w:cs="Arial"/>
          <w:sz w:val="24"/>
          <w:szCs w:val="24"/>
        </w:rPr>
        <w:t xml:space="preserve">si nos encontramos ante una </w:t>
      </w:r>
      <w:r w:rsidR="007353BF" w:rsidRPr="00517388">
        <w:rPr>
          <w:rFonts w:ascii="Arial" w:hAnsi="Arial" w:cs="Arial"/>
          <w:sz w:val="24"/>
          <w:szCs w:val="24"/>
        </w:rPr>
        <w:t xml:space="preserve">verdadera </w:t>
      </w:r>
      <w:r w:rsidR="00A86AE9" w:rsidRPr="00517388">
        <w:rPr>
          <w:rFonts w:ascii="Arial" w:hAnsi="Arial" w:cs="Arial"/>
          <w:sz w:val="24"/>
          <w:szCs w:val="24"/>
        </w:rPr>
        <w:t>alteración del</w:t>
      </w:r>
      <w:r w:rsidR="007353BF" w:rsidRPr="00517388">
        <w:rPr>
          <w:rFonts w:ascii="Arial" w:hAnsi="Arial" w:cs="Arial"/>
          <w:sz w:val="24"/>
          <w:szCs w:val="24"/>
        </w:rPr>
        <w:t xml:space="preserve"> sentido tradicional del derecho del trabajo en el plano de los deberes de las empresas transnacionales.</w:t>
      </w:r>
    </w:p>
    <w:p w14:paraId="217E7610" w14:textId="2C0214B2" w:rsidR="006D0290" w:rsidRPr="00517388" w:rsidRDefault="007353BF" w:rsidP="00AB64B1">
      <w:pPr>
        <w:jc w:val="both"/>
        <w:rPr>
          <w:rFonts w:ascii="Arial" w:hAnsi="Arial" w:cs="Arial"/>
          <w:sz w:val="24"/>
          <w:szCs w:val="24"/>
        </w:rPr>
      </w:pPr>
      <w:r w:rsidRPr="00517388">
        <w:rPr>
          <w:rFonts w:ascii="Arial" w:hAnsi="Arial" w:cs="Arial"/>
          <w:sz w:val="24"/>
          <w:szCs w:val="24"/>
        </w:rPr>
        <w:t>L</w:t>
      </w:r>
      <w:r w:rsidR="006D0290" w:rsidRPr="00517388">
        <w:rPr>
          <w:rFonts w:ascii="Arial" w:hAnsi="Arial" w:cs="Arial"/>
          <w:sz w:val="24"/>
          <w:szCs w:val="24"/>
        </w:rPr>
        <w:t xml:space="preserve">a disputa simbólica entre </w:t>
      </w:r>
      <w:r w:rsidR="006D0290" w:rsidRPr="00DD12D8">
        <w:rPr>
          <w:rFonts w:ascii="Arial" w:hAnsi="Arial" w:cs="Arial"/>
          <w:i/>
          <w:sz w:val="24"/>
          <w:szCs w:val="24"/>
        </w:rPr>
        <w:t xml:space="preserve">asimilación, trasposición o alteración </w:t>
      </w:r>
      <w:r w:rsidRPr="00517388">
        <w:rPr>
          <w:rFonts w:ascii="Arial" w:hAnsi="Arial" w:cs="Arial"/>
          <w:sz w:val="24"/>
          <w:szCs w:val="24"/>
        </w:rPr>
        <w:t xml:space="preserve">puede verse también </w:t>
      </w:r>
      <w:r w:rsidR="00877E39" w:rsidRPr="00517388">
        <w:rPr>
          <w:rFonts w:ascii="Arial" w:hAnsi="Arial" w:cs="Arial"/>
          <w:sz w:val="24"/>
          <w:szCs w:val="24"/>
        </w:rPr>
        <w:t xml:space="preserve">como un sesgo del debate sobre el </w:t>
      </w:r>
      <w:r w:rsidR="006D0290" w:rsidRPr="00517388">
        <w:rPr>
          <w:rFonts w:ascii="Arial" w:hAnsi="Arial" w:cs="Arial"/>
          <w:sz w:val="24"/>
          <w:szCs w:val="24"/>
        </w:rPr>
        <w:t>fu</w:t>
      </w:r>
      <w:r w:rsidRPr="00517388">
        <w:rPr>
          <w:rFonts w:ascii="Arial" w:hAnsi="Arial" w:cs="Arial"/>
          <w:sz w:val="24"/>
          <w:szCs w:val="24"/>
        </w:rPr>
        <w:t xml:space="preserve">turo del trabajo, </w:t>
      </w:r>
      <w:r w:rsidR="00877E39" w:rsidRPr="00517388">
        <w:rPr>
          <w:rFonts w:ascii="Arial" w:hAnsi="Arial" w:cs="Arial"/>
          <w:sz w:val="24"/>
          <w:szCs w:val="24"/>
        </w:rPr>
        <w:t xml:space="preserve">ya que puede hacer a </w:t>
      </w:r>
      <w:r w:rsidR="00DD12D8">
        <w:rPr>
          <w:rFonts w:ascii="Arial" w:hAnsi="Arial" w:cs="Arial"/>
          <w:sz w:val="24"/>
          <w:szCs w:val="24"/>
        </w:rPr>
        <w:t xml:space="preserve">una </w:t>
      </w:r>
      <w:r w:rsidR="00877E39" w:rsidRPr="00517388">
        <w:rPr>
          <w:rFonts w:ascii="Arial" w:hAnsi="Arial" w:cs="Arial"/>
          <w:sz w:val="24"/>
          <w:szCs w:val="24"/>
        </w:rPr>
        <w:t>configuración d</w:t>
      </w:r>
      <w:r w:rsidR="00DD12D8">
        <w:rPr>
          <w:rFonts w:ascii="Arial" w:hAnsi="Arial" w:cs="Arial"/>
          <w:sz w:val="24"/>
          <w:szCs w:val="24"/>
        </w:rPr>
        <w:t>istinta d</w:t>
      </w:r>
      <w:r w:rsidR="00877E39" w:rsidRPr="00517388">
        <w:rPr>
          <w:rFonts w:ascii="Arial" w:hAnsi="Arial" w:cs="Arial"/>
          <w:sz w:val="24"/>
          <w:szCs w:val="24"/>
        </w:rPr>
        <w:t xml:space="preserve">el espacio normativo que rija en el devenir </w:t>
      </w:r>
      <w:r w:rsidR="0056142E" w:rsidRPr="00517388">
        <w:rPr>
          <w:rFonts w:ascii="Arial" w:hAnsi="Arial" w:cs="Arial"/>
          <w:sz w:val="24"/>
          <w:szCs w:val="24"/>
        </w:rPr>
        <w:t xml:space="preserve">el tipo de deberes y responsabilidades </w:t>
      </w:r>
      <w:r w:rsidR="00DD12D8">
        <w:rPr>
          <w:rFonts w:ascii="Arial" w:hAnsi="Arial" w:cs="Arial"/>
          <w:sz w:val="24"/>
          <w:szCs w:val="24"/>
        </w:rPr>
        <w:t xml:space="preserve">actuantes </w:t>
      </w:r>
      <w:r w:rsidR="0056142E" w:rsidRPr="00517388">
        <w:rPr>
          <w:rFonts w:ascii="Arial" w:hAnsi="Arial" w:cs="Arial"/>
          <w:sz w:val="24"/>
          <w:szCs w:val="24"/>
        </w:rPr>
        <w:t>en las relaciones laborales</w:t>
      </w:r>
      <w:r w:rsidR="006D0290" w:rsidRPr="00517388">
        <w:rPr>
          <w:rFonts w:ascii="Arial" w:hAnsi="Arial" w:cs="Arial"/>
          <w:sz w:val="24"/>
          <w:szCs w:val="24"/>
        </w:rPr>
        <w:t>.</w:t>
      </w:r>
    </w:p>
    <w:p w14:paraId="030BE5AC" w14:textId="77777777" w:rsidR="0021316E" w:rsidRPr="00517388" w:rsidRDefault="0021316E" w:rsidP="00AB64B1">
      <w:pPr>
        <w:jc w:val="both"/>
        <w:rPr>
          <w:rFonts w:ascii="Arial" w:hAnsi="Arial" w:cs="Arial"/>
          <w:sz w:val="24"/>
          <w:szCs w:val="24"/>
        </w:rPr>
      </w:pPr>
    </w:p>
    <w:p w14:paraId="7A76B479" w14:textId="79BA661D" w:rsidR="004030E6" w:rsidRPr="00517388" w:rsidRDefault="0056142E" w:rsidP="00D83AF7">
      <w:pPr>
        <w:pStyle w:val="Prrafodelista"/>
        <w:numPr>
          <w:ilvl w:val="0"/>
          <w:numId w:val="10"/>
        </w:numPr>
        <w:jc w:val="center"/>
        <w:rPr>
          <w:rFonts w:ascii="Arial" w:hAnsi="Arial" w:cs="Arial"/>
          <w:b/>
          <w:bCs/>
          <w:sz w:val="24"/>
          <w:szCs w:val="24"/>
          <w:lang w:val="es-UY"/>
        </w:rPr>
      </w:pPr>
      <w:r w:rsidRPr="00517388">
        <w:rPr>
          <w:rFonts w:ascii="Arial" w:hAnsi="Arial" w:cs="Arial"/>
          <w:b/>
          <w:bCs/>
          <w:sz w:val="24"/>
          <w:szCs w:val="24"/>
          <w:lang w:val="es-UY"/>
        </w:rPr>
        <w:t xml:space="preserve">Tras la genealogía de la noción de </w:t>
      </w:r>
      <w:r w:rsidRPr="00517388">
        <w:rPr>
          <w:rFonts w:ascii="Arial" w:hAnsi="Arial" w:cs="Arial"/>
          <w:b/>
          <w:bCs/>
          <w:i/>
          <w:sz w:val="24"/>
          <w:szCs w:val="24"/>
          <w:lang w:val="es-UY"/>
        </w:rPr>
        <w:t>debida diligencia</w:t>
      </w:r>
    </w:p>
    <w:p w14:paraId="36F6809E" w14:textId="64B7AC47" w:rsidR="00F8423F" w:rsidRPr="00517388" w:rsidRDefault="00877E39"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La búsqueda de un origen del uso de “</w:t>
      </w:r>
      <w:r w:rsidR="00AA2CA3" w:rsidRPr="00517388">
        <w:rPr>
          <w:rFonts w:ascii="Arial" w:hAnsi="Arial" w:cs="Arial"/>
          <w:sz w:val="24"/>
          <w:szCs w:val="24"/>
        </w:rPr>
        <w:t>debida diligencia</w:t>
      </w:r>
      <w:r w:rsidRPr="00517388">
        <w:rPr>
          <w:rFonts w:ascii="Arial" w:hAnsi="Arial" w:cs="Arial"/>
          <w:sz w:val="24"/>
          <w:szCs w:val="24"/>
        </w:rPr>
        <w:t xml:space="preserve">” debe </w:t>
      </w:r>
      <w:r w:rsidR="00AA2CA3" w:rsidRPr="00517388">
        <w:rPr>
          <w:rFonts w:ascii="Arial" w:hAnsi="Arial" w:cs="Arial"/>
          <w:sz w:val="24"/>
          <w:szCs w:val="24"/>
        </w:rPr>
        <w:t xml:space="preserve">remontarse a las esferas del Derecho en las cuales </w:t>
      </w:r>
      <w:r w:rsidRPr="00517388">
        <w:rPr>
          <w:rFonts w:ascii="Arial" w:hAnsi="Arial" w:cs="Arial"/>
          <w:sz w:val="24"/>
          <w:szCs w:val="24"/>
        </w:rPr>
        <w:t xml:space="preserve">ha tenido recepción, </w:t>
      </w:r>
      <w:r w:rsidR="00AA2CA3" w:rsidRPr="00517388">
        <w:rPr>
          <w:rFonts w:ascii="Arial" w:hAnsi="Arial" w:cs="Arial"/>
          <w:sz w:val="24"/>
          <w:szCs w:val="24"/>
        </w:rPr>
        <w:t xml:space="preserve">de modo de verificar si </w:t>
      </w:r>
      <w:r w:rsidRPr="00517388">
        <w:rPr>
          <w:rFonts w:ascii="Arial" w:hAnsi="Arial" w:cs="Arial"/>
          <w:sz w:val="24"/>
          <w:szCs w:val="24"/>
        </w:rPr>
        <w:t>los s</w:t>
      </w:r>
      <w:r w:rsidR="00AA2CA3" w:rsidRPr="00517388">
        <w:rPr>
          <w:rFonts w:ascii="Arial" w:hAnsi="Arial" w:cs="Arial"/>
          <w:sz w:val="24"/>
          <w:szCs w:val="24"/>
        </w:rPr>
        <w:t xml:space="preserve">ignificados </w:t>
      </w:r>
      <w:r w:rsidRPr="00517388">
        <w:rPr>
          <w:rFonts w:ascii="Arial" w:hAnsi="Arial" w:cs="Arial"/>
          <w:sz w:val="24"/>
          <w:szCs w:val="24"/>
        </w:rPr>
        <w:t xml:space="preserve">que se le atribuyen en esos </w:t>
      </w:r>
      <w:r w:rsidR="00AA2CA3" w:rsidRPr="00517388">
        <w:rPr>
          <w:rFonts w:ascii="Arial" w:hAnsi="Arial" w:cs="Arial"/>
          <w:sz w:val="24"/>
          <w:szCs w:val="24"/>
        </w:rPr>
        <w:t>lugares pueden proporcionar pistas</w:t>
      </w:r>
      <w:r w:rsidRPr="00517388">
        <w:rPr>
          <w:rFonts w:ascii="Arial" w:hAnsi="Arial" w:cs="Arial"/>
          <w:sz w:val="24"/>
          <w:szCs w:val="24"/>
        </w:rPr>
        <w:t xml:space="preserve"> para su empleo en </w:t>
      </w:r>
      <w:r w:rsidR="00AA2CA3" w:rsidRPr="00517388">
        <w:rPr>
          <w:rFonts w:ascii="Arial" w:hAnsi="Arial" w:cs="Arial"/>
          <w:sz w:val="24"/>
          <w:szCs w:val="24"/>
        </w:rPr>
        <w:t>el Derecho del Trabajo.</w:t>
      </w:r>
    </w:p>
    <w:p w14:paraId="350568D7" w14:textId="77777777" w:rsidR="00AA2CA3" w:rsidRPr="00517388" w:rsidRDefault="00AA2CA3" w:rsidP="00AB64B1">
      <w:pPr>
        <w:autoSpaceDE w:val="0"/>
        <w:autoSpaceDN w:val="0"/>
        <w:adjustRightInd w:val="0"/>
        <w:spacing w:after="0" w:line="240" w:lineRule="auto"/>
        <w:jc w:val="both"/>
        <w:rPr>
          <w:rFonts w:ascii="Arial" w:hAnsi="Arial" w:cs="Arial"/>
          <w:sz w:val="24"/>
          <w:szCs w:val="24"/>
        </w:rPr>
      </w:pPr>
    </w:p>
    <w:p w14:paraId="5E993310" w14:textId="0587C595" w:rsidR="00AA2CA3" w:rsidRPr="00517388" w:rsidRDefault="00D83AF7"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Identifiquemos entonces cua</w:t>
      </w:r>
      <w:r w:rsidR="00AA2CA3" w:rsidRPr="00517388">
        <w:rPr>
          <w:rFonts w:ascii="Arial" w:hAnsi="Arial" w:cs="Arial"/>
          <w:sz w:val="24"/>
          <w:szCs w:val="24"/>
        </w:rPr>
        <w:t>le</w:t>
      </w:r>
      <w:r w:rsidRPr="00517388">
        <w:rPr>
          <w:rFonts w:ascii="Arial" w:hAnsi="Arial" w:cs="Arial"/>
          <w:sz w:val="24"/>
          <w:szCs w:val="24"/>
        </w:rPr>
        <w:t xml:space="preserve">s son esos ámbitos </w:t>
      </w:r>
      <w:r w:rsidR="00877E39" w:rsidRPr="00517388">
        <w:rPr>
          <w:rFonts w:ascii="Arial" w:hAnsi="Arial" w:cs="Arial"/>
          <w:sz w:val="24"/>
          <w:szCs w:val="24"/>
        </w:rPr>
        <w:t xml:space="preserve">donde habita el </w:t>
      </w:r>
      <w:r w:rsidRPr="00517388">
        <w:rPr>
          <w:rFonts w:ascii="Arial" w:hAnsi="Arial" w:cs="Arial"/>
          <w:sz w:val="24"/>
          <w:szCs w:val="24"/>
        </w:rPr>
        <w:t>té</w:t>
      </w:r>
      <w:r w:rsidR="00AA2CA3" w:rsidRPr="00517388">
        <w:rPr>
          <w:rFonts w:ascii="Arial" w:hAnsi="Arial" w:cs="Arial"/>
          <w:sz w:val="24"/>
          <w:szCs w:val="24"/>
        </w:rPr>
        <w:t>rmino</w:t>
      </w:r>
      <w:r w:rsidR="00877E39" w:rsidRPr="00517388">
        <w:rPr>
          <w:rFonts w:ascii="Arial" w:hAnsi="Arial" w:cs="Arial"/>
          <w:sz w:val="24"/>
          <w:szCs w:val="24"/>
        </w:rPr>
        <w:t xml:space="preserve"> debida diligencia</w:t>
      </w:r>
      <w:r w:rsidR="00AA2CA3" w:rsidRPr="00517388">
        <w:rPr>
          <w:rFonts w:ascii="Arial" w:hAnsi="Arial" w:cs="Arial"/>
          <w:sz w:val="24"/>
          <w:szCs w:val="24"/>
        </w:rPr>
        <w:t>, y veamos cuales son los sentidos y la utilidad que presta en orden a la garantía de los derechos de las personas.</w:t>
      </w:r>
    </w:p>
    <w:p w14:paraId="5935D2D7" w14:textId="77777777" w:rsidR="00AA2CA3" w:rsidRPr="00517388" w:rsidRDefault="00AA2CA3" w:rsidP="00AB64B1">
      <w:pPr>
        <w:autoSpaceDE w:val="0"/>
        <w:autoSpaceDN w:val="0"/>
        <w:adjustRightInd w:val="0"/>
        <w:spacing w:after="0" w:line="240" w:lineRule="auto"/>
        <w:jc w:val="both"/>
        <w:rPr>
          <w:rFonts w:ascii="Arial" w:hAnsi="Arial" w:cs="Arial"/>
          <w:sz w:val="24"/>
          <w:szCs w:val="24"/>
        </w:rPr>
      </w:pPr>
    </w:p>
    <w:p w14:paraId="071F0475" w14:textId="77777777" w:rsidR="00F8423F" w:rsidRPr="00517388" w:rsidRDefault="00F8423F" w:rsidP="00AB64B1">
      <w:pPr>
        <w:autoSpaceDE w:val="0"/>
        <w:autoSpaceDN w:val="0"/>
        <w:adjustRightInd w:val="0"/>
        <w:spacing w:after="0" w:line="240" w:lineRule="auto"/>
        <w:jc w:val="both"/>
        <w:rPr>
          <w:rFonts w:ascii="Arial" w:hAnsi="Arial" w:cs="Arial"/>
          <w:sz w:val="24"/>
          <w:szCs w:val="24"/>
        </w:rPr>
      </w:pPr>
    </w:p>
    <w:p w14:paraId="4BFAAFD4" w14:textId="339DD76A" w:rsidR="005C5395" w:rsidRPr="00517388" w:rsidRDefault="00D83AF7" w:rsidP="00D83AF7">
      <w:pPr>
        <w:jc w:val="both"/>
        <w:rPr>
          <w:rFonts w:ascii="Arial" w:hAnsi="Arial" w:cs="Arial"/>
          <w:b/>
          <w:bCs/>
          <w:i/>
          <w:sz w:val="24"/>
          <w:szCs w:val="24"/>
        </w:rPr>
      </w:pPr>
      <w:r w:rsidRPr="00517388">
        <w:rPr>
          <w:rFonts w:ascii="Arial" w:hAnsi="Arial" w:cs="Arial"/>
          <w:b/>
          <w:bCs/>
          <w:i/>
          <w:sz w:val="24"/>
          <w:szCs w:val="24"/>
        </w:rPr>
        <w:t xml:space="preserve">II.1 </w:t>
      </w:r>
      <w:r w:rsidR="00AA2CA3" w:rsidRPr="00517388">
        <w:rPr>
          <w:rFonts w:ascii="Arial" w:hAnsi="Arial" w:cs="Arial"/>
          <w:b/>
          <w:bCs/>
          <w:i/>
          <w:sz w:val="24"/>
          <w:szCs w:val="24"/>
        </w:rPr>
        <w:t>Debida diligencia en la jurisprudencia de la Corte Interamericana de Derechos Humanos</w:t>
      </w:r>
    </w:p>
    <w:p w14:paraId="23113CAF" w14:textId="77777777" w:rsidR="00AA2CA3" w:rsidRPr="00517388" w:rsidRDefault="00AA2CA3" w:rsidP="00AA2CA3">
      <w:pPr>
        <w:autoSpaceDE w:val="0"/>
        <w:autoSpaceDN w:val="0"/>
        <w:adjustRightInd w:val="0"/>
        <w:spacing w:after="0" w:line="240" w:lineRule="auto"/>
        <w:jc w:val="both"/>
        <w:rPr>
          <w:rFonts w:ascii="Arial" w:hAnsi="Arial" w:cs="Arial"/>
          <w:sz w:val="24"/>
          <w:szCs w:val="24"/>
        </w:rPr>
      </w:pPr>
    </w:p>
    <w:p w14:paraId="57AE8F92" w14:textId="346A0757" w:rsidR="00AA2CA3" w:rsidRPr="00517388" w:rsidRDefault="00AA2CA3" w:rsidP="00AA2CA3">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La debida diligencia figura como</w:t>
      </w:r>
      <w:r w:rsidR="00877E39" w:rsidRPr="00517388">
        <w:rPr>
          <w:rFonts w:ascii="Arial" w:hAnsi="Arial" w:cs="Arial"/>
          <w:sz w:val="24"/>
          <w:szCs w:val="24"/>
        </w:rPr>
        <w:t xml:space="preserve"> un</w:t>
      </w:r>
      <w:r w:rsidRPr="00517388">
        <w:rPr>
          <w:rFonts w:ascii="Arial" w:hAnsi="Arial" w:cs="Arial"/>
          <w:sz w:val="24"/>
          <w:szCs w:val="24"/>
        </w:rPr>
        <w:t xml:space="preserve"> estándar de cumplimiento de los D</w:t>
      </w:r>
      <w:r w:rsidR="00877E39" w:rsidRPr="00517388">
        <w:rPr>
          <w:rFonts w:ascii="Arial" w:hAnsi="Arial" w:cs="Arial"/>
          <w:sz w:val="24"/>
          <w:szCs w:val="24"/>
        </w:rPr>
        <w:t>D</w:t>
      </w:r>
      <w:r w:rsidRPr="00517388">
        <w:rPr>
          <w:rFonts w:ascii="Arial" w:hAnsi="Arial" w:cs="Arial"/>
          <w:sz w:val="24"/>
          <w:szCs w:val="24"/>
        </w:rPr>
        <w:t>H</w:t>
      </w:r>
      <w:r w:rsidR="00877E39" w:rsidRPr="00517388">
        <w:rPr>
          <w:rFonts w:ascii="Arial" w:hAnsi="Arial" w:cs="Arial"/>
          <w:sz w:val="24"/>
          <w:szCs w:val="24"/>
        </w:rPr>
        <w:t>H</w:t>
      </w:r>
      <w:r w:rsidRPr="00517388">
        <w:rPr>
          <w:rFonts w:ascii="Arial" w:hAnsi="Arial" w:cs="Arial"/>
          <w:sz w:val="24"/>
          <w:szCs w:val="24"/>
        </w:rPr>
        <w:t xml:space="preserve"> según lo consideran los tribunales internacionales competentes.</w:t>
      </w:r>
    </w:p>
    <w:p w14:paraId="5EC6C10F" w14:textId="77777777" w:rsidR="00AA2CA3" w:rsidRPr="00517388" w:rsidRDefault="00AA2CA3" w:rsidP="00AA2CA3">
      <w:pPr>
        <w:autoSpaceDE w:val="0"/>
        <w:autoSpaceDN w:val="0"/>
        <w:adjustRightInd w:val="0"/>
        <w:spacing w:after="0" w:line="240" w:lineRule="auto"/>
        <w:jc w:val="both"/>
        <w:rPr>
          <w:rFonts w:ascii="Arial" w:hAnsi="Arial" w:cs="Arial"/>
          <w:sz w:val="24"/>
          <w:szCs w:val="24"/>
        </w:rPr>
      </w:pPr>
    </w:p>
    <w:p w14:paraId="09E9414E" w14:textId="11AED256" w:rsidR="00AA2CA3" w:rsidRPr="00517388" w:rsidRDefault="00AA2CA3" w:rsidP="00AA2CA3">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En el caso interamericano, constituye un instrumento de mensura del cumplimiento de las obligaciones contenidas en la Convención Americana de DDHH, </w:t>
      </w:r>
      <w:r w:rsidR="00154029">
        <w:rPr>
          <w:rFonts w:ascii="Arial" w:hAnsi="Arial" w:cs="Arial"/>
          <w:sz w:val="24"/>
          <w:szCs w:val="24"/>
        </w:rPr>
        <w:t xml:space="preserve">fundamentalmente, </w:t>
      </w:r>
      <w:r w:rsidR="007E2F57" w:rsidRPr="00517388">
        <w:rPr>
          <w:rFonts w:ascii="Arial" w:hAnsi="Arial" w:cs="Arial"/>
          <w:sz w:val="24"/>
          <w:szCs w:val="24"/>
        </w:rPr>
        <w:t xml:space="preserve">la de </w:t>
      </w:r>
      <w:r w:rsidRPr="00517388">
        <w:rPr>
          <w:rFonts w:ascii="Arial" w:hAnsi="Arial" w:cs="Arial"/>
          <w:i/>
          <w:sz w:val="24"/>
          <w:szCs w:val="24"/>
        </w:rPr>
        <w:t>respetar</w:t>
      </w:r>
      <w:r w:rsidRPr="00517388">
        <w:rPr>
          <w:rFonts w:ascii="Arial" w:hAnsi="Arial" w:cs="Arial"/>
          <w:sz w:val="24"/>
          <w:szCs w:val="24"/>
        </w:rPr>
        <w:t xml:space="preserve"> los derechos allí previstos (abstenerse de violar los derechos a través de sus agentes) y la obligación de adoptar todas las medidas y crear todas las condiciones</w:t>
      </w:r>
      <w:r w:rsidR="00154029">
        <w:rPr>
          <w:rFonts w:ascii="Arial" w:hAnsi="Arial" w:cs="Arial"/>
          <w:sz w:val="24"/>
          <w:szCs w:val="24"/>
        </w:rPr>
        <w:t xml:space="preserve"> que sean necesarias para dotar de efectividad y eficacia a </w:t>
      </w:r>
      <w:r w:rsidRPr="00517388">
        <w:rPr>
          <w:rFonts w:ascii="Arial" w:hAnsi="Arial" w:cs="Arial"/>
          <w:sz w:val="24"/>
          <w:szCs w:val="24"/>
        </w:rPr>
        <w:t>dichos derechos (art 1º y 2º).</w:t>
      </w:r>
    </w:p>
    <w:p w14:paraId="547B138B" w14:textId="77777777" w:rsidR="00AA2CA3" w:rsidRPr="00517388" w:rsidRDefault="00AA2CA3" w:rsidP="00AA2CA3">
      <w:pPr>
        <w:autoSpaceDE w:val="0"/>
        <w:autoSpaceDN w:val="0"/>
        <w:adjustRightInd w:val="0"/>
        <w:spacing w:after="0" w:line="240" w:lineRule="auto"/>
        <w:jc w:val="both"/>
        <w:rPr>
          <w:rFonts w:ascii="Arial" w:hAnsi="Arial" w:cs="Arial"/>
          <w:sz w:val="24"/>
          <w:szCs w:val="24"/>
        </w:rPr>
      </w:pPr>
    </w:p>
    <w:p w14:paraId="10A99CE8" w14:textId="6DD2DEB7" w:rsidR="00AA2CA3" w:rsidRPr="00517388" w:rsidRDefault="00AA2CA3" w:rsidP="00AA2CA3">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Estos deber</w:t>
      </w:r>
      <w:r w:rsidR="007E2F57" w:rsidRPr="00517388">
        <w:rPr>
          <w:rFonts w:ascii="Arial" w:hAnsi="Arial" w:cs="Arial"/>
          <w:sz w:val="24"/>
          <w:szCs w:val="24"/>
        </w:rPr>
        <w:t xml:space="preserve">es de los Estados se materializan en la </w:t>
      </w:r>
      <w:r w:rsidR="007E2F57" w:rsidRPr="00517388">
        <w:rPr>
          <w:rFonts w:ascii="Arial" w:hAnsi="Arial" w:cs="Arial"/>
          <w:b/>
          <w:sz w:val="24"/>
          <w:szCs w:val="24"/>
        </w:rPr>
        <w:t>o</w:t>
      </w:r>
      <w:r w:rsidRPr="00517388">
        <w:rPr>
          <w:rFonts w:ascii="Arial" w:hAnsi="Arial" w:cs="Arial"/>
          <w:b/>
          <w:sz w:val="24"/>
          <w:szCs w:val="24"/>
        </w:rPr>
        <w:t>bligación de investigar</w:t>
      </w:r>
      <w:r w:rsidRPr="00517388">
        <w:rPr>
          <w:rFonts w:ascii="Arial" w:hAnsi="Arial" w:cs="Arial"/>
          <w:sz w:val="24"/>
          <w:szCs w:val="24"/>
        </w:rPr>
        <w:t xml:space="preserve"> y de </w:t>
      </w:r>
      <w:r w:rsidRPr="00517388">
        <w:rPr>
          <w:rFonts w:ascii="Arial" w:hAnsi="Arial" w:cs="Arial"/>
          <w:b/>
          <w:sz w:val="24"/>
          <w:szCs w:val="24"/>
        </w:rPr>
        <w:t>cumplir ciertos deberes procesales</w:t>
      </w:r>
      <w:r w:rsidRPr="00517388">
        <w:rPr>
          <w:rFonts w:ascii="Arial" w:hAnsi="Arial" w:cs="Arial"/>
          <w:sz w:val="24"/>
          <w:szCs w:val="24"/>
        </w:rPr>
        <w:t>.</w:t>
      </w:r>
    </w:p>
    <w:p w14:paraId="684D342A" w14:textId="77777777" w:rsidR="00295C6D" w:rsidRPr="00517388" w:rsidRDefault="00295C6D" w:rsidP="00AB64B1">
      <w:pPr>
        <w:autoSpaceDE w:val="0"/>
        <w:autoSpaceDN w:val="0"/>
        <w:adjustRightInd w:val="0"/>
        <w:spacing w:after="0" w:line="240" w:lineRule="auto"/>
        <w:jc w:val="both"/>
        <w:rPr>
          <w:rFonts w:ascii="Arial" w:hAnsi="Arial" w:cs="Arial"/>
          <w:sz w:val="24"/>
          <w:szCs w:val="24"/>
        </w:rPr>
      </w:pPr>
    </w:p>
    <w:p w14:paraId="6F60432C" w14:textId="3FECA423" w:rsidR="005C5395" w:rsidRPr="00517388" w:rsidRDefault="007E2F57" w:rsidP="00FF70EE">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L</w:t>
      </w:r>
      <w:r w:rsidR="00FF70EE" w:rsidRPr="00517388">
        <w:rPr>
          <w:rFonts w:ascii="Arial" w:hAnsi="Arial" w:cs="Arial"/>
          <w:sz w:val="24"/>
          <w:szCs w:val="24"/>
        </w:rPr>
        <w:t>a investigación de las “graves” violaciones a los D</w:t>
      </w:r>
      <w:r w:rsidRPr="00517388">
        <w:rPr>
          <w:rFonts w:ascii="Arial" w:hAnsi="Arial" w:cs="Arial"/>
          <w:sz w:val="24"/>
          <w:szCs w:val="24"/>
        </w:rPr>
        <w:t xml:space="preserve">DHH traduce </w:t>
      </w:r>
      <w:r w:rsidR="00FF70EE" w:rsidRPr="00517388">
        <w:rPr>
          <w:rFonts w:ascii="Arial" w:hAnsi="Arial" w:cs="Arial"/>
          <w:sz w:val="24"/>
          <w:szCs w:val="24"/>
        </w:rPr>
        <w:t xml:space="preserve">una elemental obligación de los Estados </w:t>
      </w:r>
      <w:r w:rsidR="00154029">
        <w:rPr>
          <w:rFonts w:ascii="Arial" w:hAnsi="Arial" w:cs="Arial"/>
          <w:sz w:val="24"/>
          <w:szCs w:val="24"/>
        </w:rPr>
        <w:t xml:space="preserve">de proporcionar </w:t>
      </w:r>
      <w:r w:rsidR="00FF70EE" w:rsidRPr="00517388">
        <w:rPr>
          <w:rFonts w:ascii="Arial" w:hAnsi="Arial" w:cs="Arial"/>
          <w:sz w:val="24"/>
          <w:szCs w:val="24"/>
        </w:rPr>
        <w:t xml:space="preserve">garantías </w:t>
      </w:r>
      <w:r w:rsidR="00154029">
        <w:rPr>
          <w:rFonts w:ascii="Arial" w:hAnsi="Arial" w:cs="Arial"/>
          <w:sz w:val="24"/>
          <w:szCs w:val="24"/>
        </w:rPr>
        <w:t xml:space="preserve">para </w:t>
      </w:r>
      <w:r w:rsidR="00FF70EE" w:rsidRPr="00517388">
        <w:rPr>
          <w:rFonts w:ascii="Arial" w:hAnsi="Arial" w:cs="Arial"/>
          <w:sz w:val="24"/>
          <w:szCs w:val="24"/>
        </w:rPr>
        <w:t xml:space="preserve">la tutela de dichos bienes jurídicos. Se pone el foco en situaciones tales como las ejecuciones extrajudiciales, la desaparición forzada, la tortura, etc. con base a lo cual los órganos encargados de la supervisión han desarrollado una doctrina y jurisprudencia de interés para nuestro </w:t>
      </w:r>
      <w:r w:rsidRPr="00517388">
        <w:rPr>
          <w:rFonts w:ascii="Arial" w:hAnsi="Arial" w:cs="Arial"/>
          <w:sz w:val="24"/>
          <w:szCs w:val="24"/>
        </w:rPr>
        <w:t xml:space="preserve">tema, constituyendo el círculo más estrecho </w:t>
      </w:r>
      <w:r w:rsidR="00FF70EE" w:rsidRPr="00517388">
        <w:rPr>
          <w:rFonts w:ascii="Arial" w:hAnsi="Arial" w:cs="Arial"/>
          <w:sz w:val="24"/>
          <w:szCs w:val="24"/>
        </w:rPr>
        <w:t xml:space="preserve">de </w:t>
      </w:r>
      <w:r w:rsidRPr="00517388">
        <w:rPr>
          <w:rFonts w:ascii="Arial" w:hAnsi="Arial" w:cs="Arial"/>
          <w:sz w:val="24"/>
          <w:szCs w:val="24"/>
        </w:rPr>
        <w:t>la idea de “</w:t>
      </w:r>
      <w:r w:rsidR="00FF70EE" w:rsidRPr="00517388">
        <w:rPr>
          <w:rFonts w:ascii="Arial" w:hAnsi="Arial" w:cs="Arial"/>
          <w:sz w:val="24"/>
          <w:szCs w:val="24"/>
        </w:rPr>
        <w:t>debida diligencia</w:t>
      </w:r>
      <w:r w:rsidRPr="00517388">
        <w:rPr>
          <w:rFonts w:ascii="Arial" w:hAnsi="Arial" w:cs="Arial"/>
          <w:sz w:val="24"/>
          <w:szCs w:val="24"/>
        </w:rPr>
        <w:t>”</w:t>
      </w:r>
      <w:r w:rsidR="00FF70EE" w:rsidRPr="00517388">
        <w:rPr>
          <w:rFonts w:ascii="Arial" w:hAnsi="Arial" w:cs="Arial"/>
          <w:sz w:val="24"/>
          <w:szCs w:val="24"/>
        </w:rPr>
        <w:t>.</w:t>
      </w:r>
    </w:p>
    <w:p w14:paraId="5AFDD1E3" w14:textId="77777777" w:rsidR="005C5395" w:rsidRPr="00517388" w:rsidRDefault="005C5395" w:rsidP="00AB64B1">
      <w:pPr>
        <w:autoSpaceDE w:val="0"/>
        <w:autoSpaceDN w:val="0"/>
        <w:adjustRightInd w:val="0"/>
        <w:spacing w:after="0" w:line="240" w:lineRule="auto"/>
        <w:jc w:val="both"/>
        <w:rPr>
          <w:rFonts w:ascii="Arial" w:hAnsi="Arial" w:cs="Arial"/>
          <w:sz w:val="24"/>
          <w:szCs w:val="24"/>
        </w:rPr>
      </w:pPr>
    </w:p>
    <w:p w14:paraId="5669E8AD" w14:textId="15BCE812" w:rsidR="005C5395" w:rsidRPr="00517388" w:rsidRDefault="00FF70EE"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lastRenderedPageBreak/>
        <w:t>Así, se señala que la C</w:t>
      </w:r>
      <w:r w:rsidR="005C5395" w:rsidRPr="00517388">
        <w:rPr>
          <w:rFonts w:ascii="Arial" w:hAnsi="Arial" w:cs="Arial"/>
          <w:sz w:val="24"/>
          <w:szCs w:val="24"/>
        </w:rPr>
        <w:t>orte Interamericana de Derechos</w:t>
      </w:r>
      <w:r w:rsidR="00295C6D" w:rsidRPr="00517388">
        <w:rPr>
          <w:rFonts w:ascii="Arial" w:hAnsi="Arial" w:cs="Arial"/>
          <w:sz w:val="24"/>
          <w:szCs w:val="24"/>
        </w:rPr>
        <w:t xml:space="preserve"> </w:t>
      </w:r>
      <w:r w:rsidR="005C5395" w:rsidRPr="00517388">
        <w:rPr>
          <w:rFonts w:ascii="Arial" w:hAnsi="Arial" w:cs="Arial"/>
          <w:sz w:val="24"/>
          <w:szCs w:val="24"/>
        </w:rPr>
        <w:t>Humanos estableció, en su primer sentencia</w:t>
      </w:r>
      <w:r w:rsidR="00295C6D" w:rsidRPr="00517388">
        <w:rPr>
          <w:rFonts w:ascii="Arial" w:hAnsi="Arial" w:cs="Arial"/>
          <w:sz w:val="24"/>
          <w:szCs w:val="24"/>
        </w:rPr>
        <w:t xml:space="preserve"> </w:t>
      </w:r>
      <w:r w:rsidR="005C5395" w:rsidRPr="00517388">
        <w:rPr>
          <w:rFonts w:ascii="Arial" w:hAnsi="Arial" w:cs="Arial"/>
          <w:sz w:val="24"/>
          <w:szCs w:val="24"/>
        </w:rPr>
        <w:t xml:space="preserve">contenciosa en el caso </w:t>
      </w:r>
      <w:r w:rsidR="005C5395" w:rsidRPr="00517388">
        <w:rPr>
          <w:rFonts w:ascii="Arial" w:hAnsi="Arial" w:cs="Arial"/>
          <w:i/>
          <w:iCs/>
          <w:sz w:val="24"/>
          <w:szCs w:val="24"/>
        </w:rPr>
        <w:t>Velásquez Rodríguez</w:t>
      </w:r>
      <w:r w:rsidRPr="00517388">
        <w:rPr>
          <w:rFonts w:ascii="Arial" w:hAnsi="Arial" w:cs="Arial"/>
          <w:i/>
          <w:iCs/>
          <w:sz w:val="24"/>
          <w:szCs w:val="24"/>
        </w:rPr>
        <w:t xml:space="preserve"> </w:t>
      </w:r>
      <w:r w:rsidR="007E2F57" w:rsidRPr="00517388">
        <w:rPr>
          <w:rFonts w:ascii="Arial" w:hAnsi="Arial" w:cs="Arial"/>
          <w:i/>
          <w:iCs/>
          <w:sz w:val="24"/>
          <w:szCs w:val="24"/>
        </w:rPr>
        <w:t>vs.</w:t>
      </w:r>
      <w:r w:rsidRPr="00517388">
        <w:rPr>
          <w:rFonts w:ascii="Arial" w:hAnsi="Arial" w:cs="Arial"/>
          <w:i/>
          <w:iCs/>
          <w:sz w:val="24"/>
          <w:szCs w:val="24"/>
        </w:rPr>
        <w:t xml:space="preserve"> Honduras</w:t>
      </w:r>
      <w:r w:rsidR="005C5395" w:rsidRPr="00517388">
        <w:rPr>
          <w:rFonts w:ascii="Arial" w:hAnsi="Arial" w:cs="Arial"/>
          <w:i/>
          <w:iCs/>
          <w:sz w:val="24"/>
          <w:szCs w:val="24"/>
        </w:rPr>
        <w:t xml:space="preserve"> </w:t>
      </w:r>
      <w:r w:rsidR="004E3701" w:rsidRPr="00517388">
        <w:rPr>
          <w:rFonts w:ascii="Arial" w:hAnsi="Arial" w:cs="Arial"/>
          <w:i/>
          <w:iCs/>
          <w:sz w:val="24"/>
          <w:szCs w:val="24"/>
        </w:rPr>
        <w:t xml:space="preserve"> en 1988 </w:t>
      </w:r>
      <w:r w:rsidR="005C5395" w:rsidRPr="00517388">
        <w:rPr>
          <w:rFonts w:ascii="Arial" w:hAnsi="Arial" w:cs="Arial"/>
          <w:sz w:val="24"/>
          <w:szCs w:val="24"/>
        </w:rPr>
        <w:t>la existencia de un deber estatal “</w:t>
      </w:r>
      <w:r w:rsidR="005C5395" w:rsidRPr="00517388">
        <w:rPr>
          <w:rFonts w:ascii="Arial" w:hAnsi="Arial" w:cs="Arial"/>
          <w:i/>
          <w:iCs/>
          <w:sz w:val="24"/>
          <w:szCs w:val="24"/>
        </w:rPr>
        <w:t>de</w:t>
      </w:r>
      <w:r w:rsidR="00295C6D" w:rsidRPr="00517388">
        <w:rPr>
          <w:rFonts w:ascii="Arial" w:hAnsi="Arial" w:cs="Arial"/>
          <w:i/>
          <w:iCs/>
          <w:sz w:val="24"/>
          <w:szCs w:val="24"/>
        </w:rPr>
        <w:t xml:space="preserve"> </w:t>
      </w:r>
      <w:r w:rsidR="005C5395" w:rsidRPr="00517388">
        <w:rPr>
          <w:rFonts w:ascii="Arial" w:hAnsi="Arial" w:cs="Arial"/>
          <w:i/>
          <w:iCs/>
          <w:sz w:val="24"/>
          <w:szCs w:val="24"/>
        </w:rPr>
        <w:t>investigar seriamente con los medios [que el Estado tenga] a su alcance las violaciones</w:t>
      </w:r>
      <w:r w:rsidR="00295C6D" w:rsidRPr="00517388">
        <w:rPr>
          <w:rFonts w:ascii="Arial" w:hAnsi="Arial" w:cs="Arial"/>
          <w:i/>
          <w:iCs/>
          <w:sz w:val="24"/>
          <w:szCs w:val="24"/>
        </w:rPr>
        <w:t xml:space="preserve"> </w:t>
      </w:r>
      <w:r w:rsidR="005C5395" w:rsidRPr="00517388">
        <w:rPr>
          <w:rFonts w:ascii="Arial" w:hAnsi="Arial" w:cs="Arial"/>
          <w:i/>
          <w:iCs/>
          <w:sz w:val="24"/>
          <w:szCs w:val="24"/>
        </w:rPr>
        <w:t>que se hayan cometido dentro del ámbito de su jurisdicción a fin de identificar a los</w:t>
      </w:r>
      <w:r w:rsidR="00295C6D" w:rsidRPr="00517388">
        <w:rPr>
          <w:rFonts w:ascii="Arial" w:hAnsi="Arial" w:cs="Arial"/>
          <w:i/>
          <w:iCs/>
          <w:sz w:val="24"/>
          <w:szCs w:val="24"/>
        </w:rPr>
        <w:t xml:space="preserve"> </w:t>
      </w:r>
      <w:r w:rsidR="005C5395" w:rsidRPr="00517388">
        <w:rPr>
          <w:rFonts w:ascii="Arial" w:hAnsi="Arial" w:cs="Arial"/>
          <w:i/>
          <w:iCs/>
          <w:sz w:val="24"/>
          <w:szCs w:val="24"/>
        </w:rPr>
        <w:t>responsables, de imponerles las sanciones pertinentes y de asegurar a la víctima una</w:t>
      </w:r>
      <w:r w:rsidR="00295C6D" w:rsidRPr="00517388">
        <w:rPr>
          <w:rFonts w:ascii="Arial" w:hAnsi="Arial" w:cs="Arial"/>
          <w:i/>
          <w:iCs/>
          <w:sz w:val="24"/>
          <w:szCs w:val="24"/>
        </w:rPr>
        <w:t xml:space="preserve"> </w:t>
      </w:r>
      <w:r w:rsidR="005C5395" w:rsidRPr="00517388">
        <w:rPr>
          <w:rFonts w:ascii="Arial" w:hAnsi="Arial" w:cs="Arial"/>
          <w:i/>
          <w:iCs/>
          <w:sz w:val="24"/>
          <w:szCs w:val="24"/>
        </w:rPr>
        <w:t>adecuada reparación</w:t>
      </w:r>
      <w:r w:rsidR="004E3701" w:rsidRPr="00517388">
        <w:rPr>
          <w:rFonts w:ascii="Arial" w:hAnsi="Arial" w:cs="Arial"/>
          <w:sz w:val="24"/>
          <w:szCs w:val="24"/>
        </w:rPr>
        <w:t>”.</w:t>
      </w:r>
      <w:r w:rsidR="005C5395" w:rsidRPr="00517388">
        <w:rPr>
          <w:rStyle w:val="Refdenotaalpie"/>
          <w:rFonts w:ascii="Arial" w:hAnsi="Arial" w:cs="Arial"/>
          <w:sz w:val="24"/>
          <w:szCs w:val="24"/>
        </w:rPr>
        <w:footnoteReference w:id="4"/>
      </w:r>
    </w:p>
    <w:p w14:paraId="38100E50" w14:textId="77777777" w:rsidR="00295C6D" w:rsidRPr="00517388" w:rsidRDefault="00295C6D" w:rsidP="00AB64B1">
      <w:pPr>
        <w:autoSpaceDE w:val="0"/>
        <w:autoSpaceDN w:val="0"/>
        <w:adjustRightInd w:val="0"/>
        <w:spacing w:after="0" w:line="240" w:lineRule="auto"/>
        <w:jc w:val="both"/>
        <w:rPr>
          <w:rFonts w:ascii="Arial" w:hAnsi="Arial" w:cs="Arial"/>
          <w:sz w:val="24"/>
          <w:szCs w:val="24"/>
        </w:rPr>
      </w:pPr>
    </w:p>
    <w:p w14:paraId="221E436C" w14:textId="77777777" w:rsidR="007E2F57" w:rsidRPr="00517388" w:rsidRDefault="004E3701"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Con este punto de partida, </w:t>
      </w:r>
      <w:r w:rsidR="007E2F57" w:rsidRPr="00517388">
        <w:rPr>
          <w:rFonts w:ascii="Arial" w:hAnsi="Arial" w:cs="Arial"/>
          <w:sz w:val="24"/>
          <w:szCs w:val="24"/>
        </w:rPr>
        <w:t xml:space="preserve">la doctrina ha </w:t>
      </w:r>
      <w:r w:rsidRPr="00517388">
        <w:rPr>
          <w:rFonts w:ascii="Arial" w:hAnsi="Arial" w:cs="Arial"/>
          <w:sz w:val="24"/>
          <w:szCs w:val="24"/>
        </w:rPr>
        <w:t>construido una serie de principios y obligaciones derivadas o accesorias de este deber principal de investigar con diligencia las “graves” violaciones a los Derechos Humanos. Y subrayamos el término “grave”</w:t>
      </w:r>
      <w:r w:rsidR="007E2F57" w:rsidRPr="00517388">
        <w:rPr>
          <w:rFonts w:ascii="Arial" w:hAnsi="Arial" w:cs="Arial"/>
          <w:sz w:val="24"/>
          <w:szCs w:val="24"/>
        </w:rPr>
        <w:t>,</w:t>
      </w:r>
      <w:r w:rsidRPr="00517388">
        <w:rPr>
          <w:rFonts w:ascii="Arial" w:hAnsi="Arial" w:cs="Arial"/>
          <w:sz w:val="24"/>
          <w:szCs w:val="24"/>
        </w:rPr>
        <w:t xml:space="preserve"> puesto que la jurisprudencia internacional no deja de acudir a esta seña semántica para indicar</w:t>
      </w:r>
      <w:r w:rsidR="007E2F57" w:rsidRPr="00517388">
        <w:rPr>
          <w:rFonts w:ascii="Arial" w:hAnsi="Arial" w:cs="Arial"/>
          <w:sz w:val="24"/>
          <w:szCs w:val="24"/>
        </w:rPr>
        <w:t>:</w:t>
      </w:r>
    </w:p>
    <w:p w14:paraId="744B569C" w14:textId="77777777" w:rsidR="007E2F57" w:rsidRPr="00517388" w:rsidRDefault="007E2F57" w:rsidP="00AB64B1">
      <w:pPr>
        <w:autoSpaceDE w:val="0"/>
        <w:autoSpaceDN w:val="0"/>
        <w:adjustRightInd w:val="0"/>
        <w:spacing w:after="0" w:line="240" w:lineRule="auto"/>
        <w:jc w:val="both"/>
        <w:rPr>
          <w:rFonts w:ascii="Arial" w:hAnsi="Arial" w:cs="Arial"/>
          <w:sz w:val="24"/>
          <w:szCs w:val="24"/>
        </w:rPr>
      </w:pPr>
    </w:p>
    <w:p w14:paraId="65416E24" w14:textId="29A246D0" w:rsidR="007E2F57" w:rsidRPr="00517388" w:rsidRDefault="007E2F57" w:rsidP="007E2F57">
      <w:pPr>
        <w:pStyle w:val="Prrafodelista"/>
        <w:numPr>
          <w:ilvl w:val="0"/>
          <w:numId w:val="12"/>
        </w:numPr>
        <w:autoSpaceDE w:val="0"/>
        <w:autoSpaceDN w:val="0"/>
        <w:adjustRightInd w:val="0"/>
        <w:spacing w:after="0" w:line="240" w:lineRule="auto"/>
        <w:jc w:val="both"/>
        <w:rPr>
          <w:rFonts w:ascii="Arial" w:hAnsi="Arial" w:cs="Arial"/>
          <w:sz w:val="24"/>
          <w:szCs w:val="24"/>
          <w:lang w:val="es-UY"/>
        </w:rPr>
      </w:pPr>
      <w:r w:rsidRPr="00517388">
        <w:rPr>
          <w:rFonts w:ascii="Arial" w:hAnsi="Arial" w:cs="Arial"/>
          <w:sz w:val="24"/>
          <w:szCs w:val="24"/>
          <w:lang w:val="es-UY"/>
        </w:rPr>
        <w:t>por un lado, que se está refiriendo no a todos sino a una serie de derechos en particular;</w:t>
      </w:r>
    </w:p>
    <w:p w14:paraId="518353A2" w14:textId="77777777" w:rsidR="007E2F57" w:rsidRPr="00517388" w:rsidRDefault="007E2F57" w:rsidP="007E2F57">
      <w:pPr>
        <w:pStyle w:val="Prrafodelista"/>
        <w:autoSpaceDE w:val="0"/>
        <w:autoSpaceDN w:val="0"/>
        <w:adjustRightInd w:val="0"/>
        <w:spacing w:after="0" w:line="240" w:lineRule="auto"/>
        <w:jc w:val="both"/>
        <w:rPr>
          <w:rFonts w:ascii="Arial" w:hAnsi="Arial" w:cs="Arial"/>
          <w:sz w:val="24"/>
          <w:szCs w:val="24"/>
          <w:lang w:val="es-UY"/>
        </w:rPr>
      </w:pPr>
    </w:p>
    <w:p w14:paraId="5CA6D790" w14:textId="4538B8F6" w:rsidR="004E3701" w:rsidRPr="00517388" w:rsidRDefault="007E2F57" w:rsidP="007E2F57">
      <w:pPr>
        <w:pStyle w:val="Prrafodelista"/>
        <w:numPr>
          <w:ilvl w:val="0"/>
          <w:numId w:val="12"/>
        </w:numPr>
        <w:autoSpaceDE w:val="0"/>
        <w:autoSpaceDN w:val="0"/>
        <w:adjustRightInd w:val="0"/>
        <w:spacing w:after="0" w:line="240" w:lineRule="auto"/>
        <w:jc w:val="both"/>
        <w:rPr>
          <w:rFonts w:ascii="Arial" w:hAnsi="Arial" w:cs="Arial"/>
          <w:sz w:val="24"/>
          <w:szCs w:val="24"/>
          <w:lang w:val="es-UY"/>
        </w:rPr>
      </w:pPr>
      <w:r w:rsidRPr="00517388">
        <w:rPr>
          <w:rFonts w:ascii="Arial" w:hAnsi="Arial" w:cs="Arial"/>
          <w:sz w:val="24"/>
          <w:szCs w:val="24"/>
          <w:lang w:val="es-UY"/>
        </w:rPr>
        <w:t xml:space="preserve">y por otro lado, lo circunscribe </w:t>
      </w:r>
      <w:r w:rsidR="004E3701" w:rsidRPr="00517388">
        <w:rPr>
          <w:rFonts w:ascii="Arial" w:hAnsi="Arial" w:cs="Arial"/>
          <w:sz w:val="24"/>
          <w:szCs w:val="24"/>
          <w:lang w:val="es-UY"/>
        </w:rPr>
        <w:t xml:space="preserve">a </w:t>
      </w:r>
      <w:r w:rsidR="00D157C0" w:rsidRPr="00517388">
        <w:rPr>
          <w:rFonts w:ascii="Arial" w:hAnsi="Arial" w:cs="Arial"/>
          <w:sz w:val="24"/>
          <w:szCs w:val="24"/>
          <w:lang w:val="es-UY"/>
        </w:rPr>
        <w:t>cierta graduación del comportamiento, caracterizado por la pr</w:t>
      </w:r>
      <w:r w:rsidR="004E3701" w:rsidRPr="00517388">
        <w:rPr>
          <w:rFonts w:ascii="Arial" w:hAnsi="Arial" w:cs="Arial"/>
          <w:sz w:val="24"/>
          <w:szCs w:val="24"/>
          <w:lang w:val="es-UY"/>
        </w:rPr>
        <w:t>ofundidad</w:t>
      </w:r>
      <w:r w:rsidR="00154029">
        <w:rPr>
          <w:rFonts w:ascii="Arial" w:hAnsi="Arial" w:cs="Arial"/>
          <w:sz w:val="24"/>
          <w:szCs w:val="24"/>
          <w:lang w:val="es-UY"/>
        </w:rPr>
        <w:t xml:space="preserve"> y </w:t>
      </w:r>
      <w:r w:rsidR="004E3701" w:rsidRPr="00517388">
        <w:rPr>
          <w:rFonts w:ascii="Arial" w:hAnsi="Arial" w:cs="Arial"/>
          <w:sz w:val="24"/>
          <w:szCs w:val="24"/>
          <w:lang w:val="es-UY"/>
        </w:rPr>
        <w:t>peligrosidad de la conducta y el daño ocasionado</w:t>
      </w:r>
      <w:r w:rsidRPr="00517388">
        <w:rPr>
          <w:rFonts w:ascii="Arial" w:hAnsi="Arial" w:cs="Arial"/>
          <w:sz w:val="24"/>
          <w:szCs w:val="24"/>
          <w:lang w:val="es-UY"/>
        </w:rPr>
        <w:t>.</w:t>
      </w:r>
      <w:r w:rsidR="007474E0" w:rsidRPr="00517388">
        <w:rPr>
          <w:rStyle w:val="Refdenotaalpie"/>
          <w:rFonts w:ascii="Arial" w:hAnsi="Arial" w:cs="Arial"/>
          <w:sz w:val="24"/>
          <w:szCs w:val="24"/>
          <w:lang w:val="es-UY"/>
        </w:rPr>
        <w:footnoteReference w:id="5"/>
      </w:r>
    </w:p>
    <w:p w14:paraId="6834E79D" w14:textId="77777777" w:rsidR="00295C6D" w:rsidRPr="00517388" w:rsidRDefault="00295C6D" w:rsidP="00AB64B1">
      <w:pPr>
        <w:autoSpaceDE w:val="0"/>
        <w:autoSpaceDN w:val="0"/>
        <w:adjustRightInd w:val="0"/>
        <w:spacing w:after="0" w:line="240" w:lineRule="auto"/>
        <w:jc w:val="both"/>
        <w:rPr>
          <w:rFonts w:ascii="Arial" w:hAnsi="Arial" w:cs="Arial"/>
          <w:sz w:val="24"/>
          <w:szCs w:val="24"/>
        </w:rPr>
      </w:pPr>
    </w:p>
    <w:p w14:paraId="2266850E" w14:textId="77777777" w:rsidR="00D157C0" w:rsidRPr="00517388" w:rsidRDefault="00D157C0" w:rsidP="00D72316">
      <w:pPr>
        <w:autoSpaceDE w:val="0"/>
        <w:autoSpaceDN w:val="0"/>
        <w:adjustRightInd w:val="0"/>
        <w:spacing w:after="0" w:line="240" w:lineRule="auto"/>
        <w:jc w:val="both"/>
        <w:rPr>
          <w:rFonts w:ascii="Arial" w:hAnsi="Arial" w:cs="Arial"/>
          <w:i/>
          <w:iCs/>
          <w:sz w:val="24"/>
          <w:szCs w:val="24"/>
        </w:rPr>
      </w:pPr>
      <w:r w:rsidRPr="00517388">
        <w:rPr>
          <w:rFonts w:ascii="Arial" w:hAnsi="Arial" w:cs="Arial"/>
          <w:sz w:val="24"/>
          <w:szCs w:val="24"/>
        </w:rPr>
        <w:t>Un</w:t>
      </w:r>
      <w:r w:rsidR="007474E0" w:rsidRPr="00517388">
        <w:rPr>
          <w:rFonts w:ascii="Arial" w:hAnsi="Arial" w:cs="Arial"/>
          <w:sz w:val="24"/>
          <w:szCs w:val="24"/>
        </w:rPr>
        <w:t xml:space="preserve"> estudio de la jurisprudencia de la Corte Interamericana </w:t>
      </w:r>
      <w:r w:rsidRPr="00517388">
        <w:rPr>
          <w:rFonts w:ascii="Arial" w:hAnsi="Arial" w:cs="Arial"/>
          <w:sz w:val="24"/>
          <w:szCs w:val="24"/>
        </w:rPr>
        <w:t>la</w:t>
      </w:r>
      <w:r w:rsidR="007474E0" w:rsidRPr="00517388">
        <w:rPr>
          <w:rFonts w:ascii="Arial" w:hAnsi="Arial" w:cs="Arial"/>
          <w:sz w:val="24"/>
          <w:szCs w:val="24"/>
        </w:rPr>
        <w:t xml:space="preserve"> ha sistematizado con base en la garantía prevista en el art. 1.1 de la Convención Americana, que exige el respeto y la protección de los derechos y li</w:t>
      </w:r>
      <w:r w:rsidRPr="00517388">
        <w:rPr>
          <w:rFonts w:ascii="Arial" w:hAnsi="Arial" w:cs="Arial"/>
          <w:sz w:val="24"/>
          <w:szCs w:val="24"/>
        </w:rPr>
        <w:t>bertades</w:t>
      </w:r>
      <w:r w:rsidR="007474E0" w:rsidRPr="00517388">
        <w:rPr>
          <w:rFonts w:ascii="Arial" w:hAnsi="Arial" w:cs="Arial"/>
          <w:sz w:val="24"/>
          <w:szCs w:val="24"/>
        </w:rPr>
        <w:t xml:space="preserve">, de tal modo que </w:t>
      </w:r>
      <w:r w:rsidR="00417D85" w:rsidRPr="00517388">
        <w:rPr>
          <w:rFonts w:ascii="Arial" w:hAnsi="Arial" w:cs="Arial"/>
          <w:sz w:val="24"/>
          <w:szCs w:val="24"/>
        </w:rPr>
        <w:t>“</w:t>
      </w:r>
      <w:r w:rsidR="00417D85" w:rsidRPr="00517388">
        <w:rPr>
          <w:rFonts w:ascii="Arial" w:hAnsi="Arial" w:cs="Arial"/>
          <w:i/>
          <w:iCs/>
          <w:sz w:val="24"/>
          <w:szCs w:val="24"/>
        </w:rPr>
        <w:t>los Estados deben prevenir, investigar y sancionar toda violación de los</w:t>
      </w:r>
      <w:r w:rsidR="00295C6D" w:rsidRPr="00517388">
        <w:rPr>
          <w:rFonts w:ascii="Arial" w:hAnsi="Arial" w:cs="Arial"/>
          <w:i/>
          <w:iCs/>
          <w:sz w:val="24"/>
          <w:szCs w:val="24"/>
        </w:rPr>
        <w:t xml:space="preserve"> </w:t>
      </w:r>
      <w:r w:rsidR="00417D85" w:rsidRPr="00517388">
        <w:rPr>
          <w:rFonts w:ascii="Arial" w:hAnsi="Arial" w:cs="Arial"/>
          <w:i/>
          <w:iCs/>
          <w:sz w:val="24"/>
          <w:szCs w:val="24"/>
        </w:rPr>
        <w:t>derechos rec</w:t>
      </w:r>
      <w:r w:rsidR="007474E0" w:rsidRPr="00517388">
        <w:rPr>
          <w:rFonts w:ascii="Arial" w:hAnsi="Arial" w:cs="Arial"/>
          <w:i/>
          <w:iCs/>
          <w:sz w:val="24"/>
          <w:szCs w:val="24"/>
        </w:rPr>
        <w:t>onocidos por la Convención”.</w:t>
      </w:r>
      <w:r w:rsidR="007474E0" w:rsidRPr="00517388">
        <w:rPr>
          <w:rStyle w:val="Refdenotaalpie"/>
          <w:rFonts w:ascii="Arial" w:hAnsi="Arial" w:cs="Arial"/>
          <w:i/>
          <w:iCs/>
          <w:sz w:val="24"/>
          <w:szCs w:val="24"/>
        </w:rPr>
        <w:footnoteReference w:id="6"/>
      </w:r>
    </w:p>
    <w:p w14:paraId="13036640" w14:textId="77777777" w:rsidR="00D157C0" w:rsidRPr="00517388" w:rsidRDefault="00D157C0" w:rsidP="00D72316">
      <w:pPr>
        <w:autoSpaceDE w:val="0"/>
        <w:autoSpaceDN w:val="0"/>
        <w:adjustRightInd w:val="0"/>
        <w:spacing w:after="0" w:line="240" w:lineRule="auto"/>
        <w:jc w:val="both"/>
        <w:rPr>
          <w:rFonts w:ascii="Arial" w:hAnsi="Arial" w:cs="Arial"/>
          <w:i/>
          <w:iCs/>
          <w:sz w:val="24"/>
          <w:szCs w:val="24"/>
        </w:rPr>
      </w:pPr>
    </w:p>
    <w:p w14:paraId="3F34C26E" w14:textId="7CFCD0AF" w:rsidR="00D72316" w:rsidRPr="00517388" w:rsidRDefault="00D72316" w:rsidP="00D72316">
      <w:pPr>
        <w:autoSpaceDE w:val="0"/>
        <w:autoSpaceDN w:val="0"/>
        <w:adjustRightInd w:val="0"/>
        <w:spacing w:after="0" w:line="240" w:lineRule="auto"/>
        <w:jc w:val="both"/>
        <w:rPr>
          <w:rFonts w:ascii="Arial" w:hAnsi="Arial" w:cs="Arial"/>
          <w:i/>
          <w:iCs/>
          <w:sz w:val="24"/>
          <w:szCs w:val="24"/>
        </w:rPr>
      </w:pPr>
      <w:r w:rsidRPr="00517388">
        <w:rPr>
          <w:rFonts w:ascii="Arial" w:hAnsi="Arial" w:cs="Arial"/>
          <w:sz w:val="24"/>
          <w:szCs w:val="24"/>
        </w:rPr>
        <w:t xml:space="preserve">Agrega que </w:t>
      </w:r>
      <w:r w:rsidR="00D157C0" w:rsidRPr="00517388">
        <w:rPr>
          <w:rFonts w:ascii="Arial" w:hAnsi="Arial" w:cs="Arial"/>
          <w:sz w:val="24"/>
          <w:szCs w:val="24"/>
        </w:rPr>
        <w:t>e</w:t>
      </w:r>
      <w:r w:rsidRPr="00517388">
        <w:rPr>
          <w:rFonts w:ascii="Arial" w:hAnsi="Arial" w:cs="Arial"/>
          <w:sz w:val="24"/>
          <w:szCs w:val="24"/>
        </w:rPr>
        <w:t xml:space="preserve">n </w:t>
      </w:r>
      <w:r w:rsidR="00D157C0" w:rsidRPr="00517388">
        <w:rPr>
          <w:rFonts w:ascii="Arial" w:hAnsi="Arial" w:cs="Arial"/>
          <w:sz w:val="24"/>
          <w:szCs w:val="24"/>
        </w:rPr>
        <w:t>esas hipótesis d</w:t>
      </w:r>
      <w:r w:rsidRPr="00517388">
        <w:rPr>
          <w:rFonts w:ascii="Arial" w:hAnsi="Arial" w:cs="Arial"/>
          <w:sz w:val="24"/>
          <w:szCs w:val="24"/>
        </w:rPr>
        <w:t xml:space="preserve">e graves violaciones a los </w:t>
      </w:r>
      <w:r w:rsidR="00D157C0" w:rsidRPr="00517388">
        <w:rPr>
          <w:rFonts w:ascii="Arial" w:hAnsi="Arial" w:cs="Arial"/>
          <w:sz w:val="24"/>
          <w:szCs w:val="24"/>
        </w:rPr>
        <w:t>DDHH</w:t>
      </w:r>
      <w:r w:rsidRPr="00517388">
        <w:rPr>
          <w:rFonts w:ascii="Arial" w:hAnsi="Arial" w:cs="Arial"/>
          <w:sz w:val="24"/>
          <w:szCs w:val="24"/>
        </w:rPr>
        <w:t xml:space="preserve"> el Estado debe “</w:t>
      </w:r>
      <w:r w:rsidRPr="00517388">
        <w:rPr>
          <w:rFonts w:ascii="Arial" w:hAnsi="Arial" w:cs="Arial"/>
          <w:i/>
          <w:iCs/>
          <w:sz w:val="24"/>
          <w:szCs w:val="24"/>
        </w:rPr>
        <w:t xml:space="preserve">iniciar ex officio y sin dilación, una investigación seria, imparcial y efectiva, que no se emprenda como una simple formalidad condenada de antemano a ser infructuosa”, </w:t>
      </w:r>
      <w:r w:rsidRPr="00517388">
        <w:rPr>
          <w:rFonts w:ascii="Arial" w:hAnsi="Arial" w:cs="Arial"/>
          <w:iCs/>
          <w:sz w:val="24"/>
          <w:szCs w:val="24"/>
        </w:rPr>
        <w:t xml:space="preserve">y que </w:t>
      </w:r>
      <w:r w:rsidRPr="00517388">
        <w:rPr>
          <w:rFonts w:ascii="Arial" w:hAnsi="Arial" w:cs="Arial"/>
          <w:sz w:val="24"/>
          <w:szCs w:val="24"/>
        </w:rPr>
        <w:t xml:space="preserve">la Corte IDH ha sido clara en señalar que </w:t>
      </w:r>
      <w:r w:rsidRPr="00517388">
        <w:rPr>
          <w:rFonts w:ascii="Arial" w:hAnsi="Arial" w:cs="Arial"/>
          <w:i/>
          <w:iCs/>
          <w:sz w:val="24"/>
          <w:szCs w:val="24"/>
        </w:rPr>
        <w:t>“la búsqueda efectiva de la verdad corresponde al Estado, y no depende de la iniciativa procesal de la víctima, o de sus familiares o de su aportación de elementos probatorios</w:t>
      </w:r>
      <w:r w:rsidRPr="00517388">
        <w:rPr>
          <w:rFonts w:ascii="Arial" w:hAnsi="Arial" w:cs="Arial"/>
          <w:sz w:val="24"/>
          <w:szCs w:val="24"/>
        </w:rPr>
        <w:t>”.</w:t>
      </w:r>
      <w:r w:rsidRPr="00517388">
        <w:rPr>
          <w:rStyle w:val="Refdenotaalpie"/>
          <w:rFonts w:ascii="Arial" w:hAnsi="Arial" w:cs="Arial"/>
          <w:sz w:val="24"/>
          <w:szCs w:val="24"/>
        </w:rPr>
        <w:footnoteReference w:id="7"/>
      </w:r>
    </w:p>
    <w:p w14:paraId="56C707C7" w14:textId="2007C71E" w:rsidR="00D72316" w:rsidRPr="00517388" w:rsidRDefault="00D72316" w:rsidP="00AB64B1">
      <w:pPr>
        <w:autoSpaceDE w:val="0"/>
        <w:autoSpaceDN w:val="0"/>
        <w:adjustRightInd w:val="0"/>
        <w:spacing w:after="0" w:line="240" w:lineRule="auto"/>
        <w:jc w:val="both"/>
        <w:rPr>
          <w:rFonts w:ascii="Arial" w:hAnsi="Arial" w:cs="Arial"/>
          <w:sz w:val="24"/>
          <w:szCs w:val="24"/>
        </w:rPr>
      </w:pPr>
    </w:p>
    <w:p w14:paraId="047A96AF" w14:textId="77777777" w:rsidR="00D157C0" w:rsidRPr="00517388" w:rsidRDefault="00D72316" w:rsidP="00CF4295">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La obligación de investigar se vincula, en esta jurisprudencia, a otros desarrollos como a las garantías de un juicio justo y a la tutela judicial efectiva de esos derechos gravemente violentados, en una interpretación que hace de la </w:t>
      </w:r>
      <w:r w:rsidRPr="00517388">
        <w:rPr>
          <w:rFonts w:ascii="Arial" w:hAnsi="Arial" w:cs="Arial"/>
          <w:sz w:val="24"/>
          <w:szCs w:val="24"/>
        </w:rPr>
        <w:lastRenderedPageBreak/>
        <w:t>obligación de investigar</w:t>
      </w:r>
      <w:r w:rsidR="00D157C0" w:rsidRPr="00517388">
        <w:rPr>
          <w:rFonts w:ascii="Arial" w:hAnsi="Arial" w:cs="Arial"/>
          <w:sz w:val="24"/>
          <w:szCs w:val="24"/>
        </w:rPr>
        <w:t xml:space="preserve"> </w:t>
      </w:r>
      <w:r w:rsidRPr="00517388">
        <w:rPr>
          <w:rFonts w:ascii="Arial" w:hAnsi="Arial" w:cs="Arial"/>
          <w:sz w:val="24"/>
          <w:szCs w:val="24"/>
        </w:rPr>
        <w:t>parte de la obligación de proteger el derecho a la vida</w:t>
      </w:r>
      <w:r w:rsidR="00CF4295" w:rsidRPr="00517388">
        <w:rPr>
          <w:rFonts w:ascii="Arial" w:hAnsi="Arial" w:cs="Arial"/>
          <w:sz w:val="24"/>
          <w:szCs w:val="24"/>
        </w:rPr>
        <w:t xml:space="preserve">, según </w:t>
      </w:r>
      <w:r w:rsidRPr="00517388">
        <w:rPr>
          <w:rFonts w:ascii="Arial" w:hAnsi="Arial" w:cs="Arial"/>
          <w:sz w:val="24"/>
          <w:szCs w:val="24"/>
        </w:rPr>
        <w:t>los criterios que ha empleado la Corte Europea de DDHH</w:t>
      </w:r>
      <w:r w:rsidR="00D157C0" w:rsidRPr="00517388">
        <w:rPr>
          <w:rFonts w:ascii="Arial" w:hAnsi="Arial" w:cs="Arial"/>
          <w:sz w:val="24"/>
          <w:szCs w:val="24"/>
        </w:rPr>
        <w:t>.</w:t>
      </w:r>
    </w:p>
    <w:p w14:paraId="2E2525FC" w14:textId="77777777" w:rsidR="00D157C0" w:rsidRPr="00517388" w:rsidRDefault="00D157C0" w:rsidP="00CF4295">
      <w:pPr>
        <w:autoSpaceDE w:val="0"/>
        <w:autoSpaceDN w:val="0"/>
        <w:adjustRightInd w:val="0"/>
        <w:spacing w:after="0" w:line="240" w:lineRule="auto"/>
        <w:jc w:val="both"/>
        <w:rPr>
          <w:rFonts w:ascii="Arial" w:hAnsi="Arial" w:cs="Arial"/>
          <w:sz w:val="24"/>
          <w:szCs w:val="24"/>
        </w:rPr>
      </w:pPr>
    </w:p>
    <w:p w14:paraId="6B081B82" w14:textId="77777777" w:rsidR="00AA691E" w:rsidRPr="00517388" w:rsidRDefault="00D157C0"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En esta racionalidad, el Estado estaría obligado a “respetar” los DDHH (obligación negativa) y a garantizar mediante </w:t>
      </w:r>
      <w:r w:rsidR="00AA691E" w:rsidRPr="00517388">
        <w:rPr>
          <w:rFonts w:ascii="Arial" w:hAnsi="Arial" w:cs="Arial"/>
          <w:sz w:val="24"/>
          <w:szCs w:val="24"/>
        </w:rPr>
        <w:t>las vías procesales y judiciales (obligación positiva).</w:t>
      </w:r>
    </w:p>
    <w:p w14:paraId="5C5034E3" w14:textId="311435E6" w:rsidR="00295C6D" w:rsidRPr="00517388" w:rsidRDefault="00AA691E"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 </w:t>
      </w:r>
    </w:p>
    <w:p w14:paraId="561ADF70" w14:textId="7D5BE086" w:rsidR="00AA691E" w:rsidRPr="00517388" w:rsidRDefault="00CF4295" w:rsidP="00EE64E2">
      <w:pPr>
        <w:jc w:val="both"/>
        <w:rPr>
          <w:rFonts w:ascii="Arial" w:hAnsi="Arial" w:cs="Arial"/>
          <w:sz w:val="24"/>
          <w:szCs w:val="24"/>
        </w:rPr>
      </w:pPr>
      <w:r w:rsidRPr="00517388">
        <w:rPr>
          <w:rFonts w:ascii="Arial" w:hAnsi="Arial" w:cs="Arial"/>
          <w:sz w:val="24"/>
          <w:szCs w:val="24"/>
        </w:rPr>
        <w:t xml:space="preserve">Pero nótese que aún en </w:t>
      </w:r>
      <w:r w:rsidR="00AA691E" w:rsidRPr="00517388">
        <w:rPr>
          <w:rFonts w:ascii="Arial" w:hAnsi="Arial" w:cs="Arial"/>
          <w:sz w:val="24"/>
          <w:szCs w:val="24"/>
        </w:rPr>
        <w:t>el ámbito d</w:t>
      </w:r>
      <w:r w:rsidRPr="00517388">
        <w:rPr>
          <w:rFonts w:ascii="Arial" w:hAnsi="Arial" w:cs="Arial"/>
          <w:sz w:val="24"/>
          <w:szCs w:val="24"/>
        </w:rPr>
        <w:t xml:space="preserve">e la obligación del Estado del deber de investigar las </w:t>
      </w:r>
      <w:r w:rsidR="00AA691E" w:rsidRPr="00517388">
        <w:rPr>
          <w:rFonts w:ascii="Arial" w:hAnsi="Arial" w:cs="Arial"/>
          <w:sz w:val="24"/>
          <w:szCs w:val="24"/>
        </w:rPr>
        <w:t>“</w:t>
      </w:r>
      <w:r w:rsidRPr="00517388">
        <w:rPr>
          <w:rFonts w:ascii="Arial" w:hAnsi="Arial" w:cs="Arial"/>
          <w:sz w:val="24"/>
          <w:szCs w:val="24"/>
        </w:rPr>
        <w:t>graves</w:t>
      </w:r>
      <w:r w:rsidR="00AA691E" w:rsidRPr="00517388">
        <w:rPr>
          <w:rFonts w:ascii="Arial" w:hAnsi="Arial" w:cs="Arial"/>
          <w:sz w:val="24"/>
          <w:szCs w:val="24"/>
        </w:rPr>
        <w:t>”</w:t>
      </w:r>
      <w:r w:rsidRPr="00517388">
        <w:rPr>
          <w:rFonts w:ascii="Arial" w:hAnsi="Arial" w:cs="Arial"/>
          <w:sz w:val="24"/>
          <w:szCs w:val="24"/>
        </w:rPr>
        <w:t xml:space="preserve"> vio</w:t>
      </w:r>
      <w:r w:rsidR="00E060F2" w:rsidRPr="00517388">
        <w:rPr>
          <w:rFonts w:ascii="Arial" w:hAnsi="Arial" w:cs="Arial"/>
          <w:sz w:val="24"/>
          <w:szCs w:val="24"/>
        </w:rPr>
        <w:t xml:space="preserve">laciones a los Derechos Humanos, </w:t>
      </w:r>
      <w:r w:rsidR="00AA691E" w:rsidRPr="00517388">
        <w:rPr>
          <w:rFonts w:ascii="Arial" w:hAnsi="Arial" w:cs="Arial"/>
          <w:sz w:val="24"/>
          <w:szCs w:val="24"/>
        </w:rPr>
        <w:t xml:space="preserve">desde el iniciático fallo citado de </w:t>
      </w:r>
      <w:r w:rsidR="00E060F2" w:rsidRPr="00517388">
        <w:rPr>
          <w:rFonts w:ascii="Arial" w:hAnsi="Arial" w:cs="Arial"/>
          <w:i/>
          <w:iCs/>
          <w:sz w:val="24"/>
          <w:szCs w:val="24"/>
        </w:rPr>
        <w:t xml:space="preserve">Velásquez Rodríguez </w:t>
      </w:r>
      <w:r w:rsidR="00AA691E" w:rsidRPr="00517388">
        <w:rPr>
          <w:rFonts w:ascii="Arial" w:hAnsi="Arial" w:cs="Arial"/>
          <w:i/>
          <w:iCs/>
          <w:sz w:val="24"/>
          <w:szCs w:val="24"/>
        </w:rPr>
        <w:t>vs.</w:t>
      </w:r>
      <w:r w:rsidR="0021316E" w:rsidRPr="00517388">
        <w:rPr>
          <w:rFonts w:ascii="Arial" w:hAnsi="Arial" w:cs="Arial"/>
          <w:i/>
          <w:iCs/>
          <w:sz w:val="24"/>
          <w:szCs w:val="24"/>
        </w:rPr>
        <w:t xml:space="preserve"> Honduras</w:t>
      </w:r>
      <w:r w:rsidR="00AA691E" w:rsidRPr="00517388">
        <w:rPr>
          <w:rFonts w:ascii="Arial" w:hAnsi="Arial" w:cs="Arial"/>
          <w:i/>
          <w:iCs/>
          <w:sz w:val="24"/>
          <w:szCs w:val="24"/>
        </w:rPr>
        <w:t xml:space="preserve"> </w:t>
      </w:r>
      <w:r w:rsidR="00AA691E" w:rsidRPr="00517388">
        <w:rPr>
          <w:rFonts w:ascii="Arial" w:hAnsi="Arial" w:cs="Arial"/>
          <w:iCs/>
          <w:sz w:val="24"/>
          <w:szCs w:val="24"/>
        </w:rPr>
        <w:t xml:space="preserve">hasta nuestro conocido </w:t>
      </w:r>
      <w:r w:rsidR="0021316E" w:rsidRPr="00517388">
        <w:rPr>
          <w:rFonts w:ascii="Arial" w:hAnsi="Arial" w:cs="Arial"/>
          <w:i/>
          <w:iCs/>
          <w:sz w:val="24"/>
          <w:szCs w:val="24"/>
        </w:rPr>
        <w:t xml:space="preserve">Gelman </w:t>
      </w:r>
      <w:r w:rsidR="00AA691E" w:rsidRPr="00517388">
        <w:rPr>
          <w:rFonts w:ascii="Arial" w:hAnsi="Arial" w:cs="Arial"/>
          <w:i/>
          <w:iCs/>
          <w:sz w:val="24"/>
          <w:szCs w:val="24"/>
        </w:rPr>
        <w:t>vs.</w:t>
      </w:r>
      <w:r w:rsidR="0021316E" w:rsidRPr="00517388">
        <w:rPr>
          <w:rFonts w:ascii="Arial" w:hAnsi="Arial" w:cs="Arial"/>
          <w:i/>
          <w:iCs/>
          <w:sz w:val="24"/>
          <w:szCs w:val="24"/>
        </w:rPr>
        <w:t xml:space="preserve"> Uruguay </w:t>
      </w:r>
      <w:r w:rsidR="0021316E" w:rsidRPr="00517388">
        <w:rPr>
          <w:rFonts w:ascii="Arial" w:hAnsi="Arial" w:cs="Arial"/>
          <w:sz w:val="24"/>
          <w:szCs w:val="24"/>
        </w:rPr>
        <w:t>(2011)</w:t>
      </w:r>
      <w:r w:rsidR="00AA691E" w:rsidRPr="00517388">
        <w:rPr>
          <w:rFonts w:ascii="Arial" w:hAnsi="Arial" w:cs="Arial"/>
          <w:sz w:val="24"/>
          <w:szCs w:val="24"/>
        </w:rPr>
        <w:t>, el órgano internacional</w:t>
      </w:r>
      <w:r w:rsidR="00E060F2" w:rsidRPr="00517388">
        <w:rPr>
          <w:rFonts w:ascii="Arial" w:hAnsi="Arial" w:cs="Arial"/>
          <w:sz w:val="24"/>
          <w:szCs w:val="24"/>
        </w:rPr>
        <w:t xml:space="preserve"> no</w:t>
      </w:r>
      <w:r w:rsidR="00AA691E" w:rsidRPr="00517388">
        <w:rPr>
          <w:rFonts w:ascii="Arial" w:hAnsi="Arial" w:cs="Arial"/>
          <w:sz w:val="24"/>
          <w:szCs w:val="24"/>
        </w:rPr>
        <w:t xml:space="preserve"> ofrece</w:t>
      </w:r>
      <w:r w:rsidR="00E060F2" w:rsidRPr="00517388">
        <w:rPr>
          <w:rFonts w:ascii="Arial" w:hAnsi="Arial" w:cs="Arial"/>
          <w:sz w:val="24"/>
          <w:szCs w:val="24"/>
        </w:rPr>
        <w:t xml:space="preserve"> una doctrina ni proporciona ninguna definición sobre d</w:t>
      </w:r>
      <w:r w:rsidR="00AA691E" w:rsidRPr="00517388">
        <w:rPr>
          <w:rFonts w:ascii="Arial" w:hAnsi="Arial" w:cs="Arial"/>
          <w:sz w:val="24"/>
          <w:szCs w:val="24"/>
        </w:rPr>
        <w:t>ebida d</w:t>
      </w:r>
      <w:r w:rsidR="00E060F2" w:rsidRPr="00517388">
        <w:rPr>
          <w:rFonts w:ascii="Arial" w:hAnsi="Arial" w:cs="Arial"/>
          <w:sz w:val="24"/>
          <w:szCs w:val="24"/>
        </w:rPr>
        <w:t xml:space="preserve">iligencia, por lo que se ha sostenido que no puede </w:t>
      </w:r>
      <w:r w:rsidR="00AA691E" w:rsidRPr="00517388">
        <w:rPr>
          <w:rFonts w:ascii="Arial" w:hAnsi="Arial" w:cs="Arial"/>
          <w:sz w:val="24"/>
          <w:szCs w:val="24"/>
        </w:rPr>
        <w:t xml:space="preserve">decirse que exista </w:t>
      </w:r>
      <w:r w:rsidR="00E060F2" w:rsidRPr="00517388">
        <w:rPr>
          <w:rFonts w:ascii="Arial" w:hAnsi="Arial" w:cs="Arial"/>
          <w:sz w:val="24"/>
          <w:szCs w:val="24"/>
        </w:rPr>
        <w:t>“consenso jurisprudencial</w:t>
      </w:r>
      <w:r w:rsidR="00EE64E2" w:rsidRPr="00517388">
        <w:rPr>
          <w:rFonts w:ascii="Arial" w:hAnsi="Arial" w:cs="Arial"/>
          <w:sz w:val="24"/>
          <w:szCs w:val="24"/>
        </w:rPr>
        <w:t>”</w:t>
      </w:r>
      <w:r w:rsidR="00AA691E" w:rsidRPr="00517388">
        <w:rPr>
          <w:rFonts w:ascii="Arial" w:hAnsi="Arial" w:cs="Arial"/>
          <w:sz w:val="24"/>
          <w:szCs w:val="24"/>
        </w:rPr>
        <w:t xml:space="preserve"> alguno</w:t>
      </w:r>
      <w:r w:rsidR="00E060F2" w:rsidRPr="00517388">
        <w:rPr>
          <w:rFonts w:ascii="Arial" w:hAnsi="Arial" w:cs="Arial"/>
          <w:sz w:val="24"/>
          <w:szCs w:val="24"/>
        </w:rPr>
        <w:t xml:space="preserve"> </w:t>
      </w:r>
      <w:r w:rsidR="00EE64E2" w:rsidRPr="00517388">
        <w:rPr>
          <w:rFonts w:ascii="Arial" w:hAnsi="Arial" w:cs="Arial"/>
          <w:sz w:val="24"/>
          <w:szCs w:val="24"/>
        </w:rPr>
        <w:t>en relación a la “</w:t>
      </w:r>
      <w:r w:rsidR="00E060F2" w:rsidRPr="00517388">
        <w:rPr>
          <w:rFonts w:ascii="Arial" w:hAnsi="Arial" w:cs="Arial"/>
          <w:sz w:val="24"/>
          <w:szCs w:val="24"/>
        </w:rPr>
        <w:t>naturaleza jurídica</w:t>
      </w:r>
      <w:r w:rsidR="00EE64E2" w:rsidRPr="00517388">
        <w:rPr>
          <w:rFonts w:ascii="Arial" w:hAnsi="Arial" w:cs="Arial"/>
          <w:sz w:val="24"/>
          <w:szCs w:val="24"/>
        </w:rPr>
        <w:t xml:space="preserve">” de la </w:t>
      </w:r>
      <w:r w:rsidR="00AA691E" w:rsidRPr="00517388">
        <w:rPr>
          <w:rFonts w:ascii="Arial" w:hAnsi="Arial" w:cs="Arial"/>
          <w:sz w:val="24"/>
          <w:szCs w:val="24"/>
        </w:rPr>
        <w:t>noción en estudio.</w:t>
      </w:r>
    </w:p>
    <w:p w14:paraId="0C5C44EA" w14:textId="2C08E11D" w:rsidR="0021316E" w:rsidRPr="00517388" w:rsidRDefault="00AA691E" w:rsidP="00EE64E2">
      <w:pPr>
        <w:jc w:val="both"/>
        <w:rPr>
          <w:rFonts w:ascii="Arial" w:hAnsi="Arial" w:cs="Arial"/>
          <w:sz w:val="24"/>
          <w:szCs w:val="24"/>
        </w:rPr>
      </w:pPr>
      <w:r w:rsidRPr="00517388">
        <w:rPr>
          <w:rFonts w:ascii="Arial" w:hAnsi="Arial" w:cs="Arial"/>
          <w:sz w:val="24"/>
          <w:szCs w:val="24"/>
        </w:rPr>
        <w:t xml:space="preserve">Por ello se ha dicho que </w:t>
      </w:r>
      <w:r w:rsidR="00EE64E2" w:rsidRPr="00517388">
        <w:rPr>
          <w:rFonts w:ascii="Arial" w:hAnsi="Arial" w:cs="Arial"/>
          <w:i/>
          <w:sz w:val="24"/>
          <w:szCs w:val="24"/>
        </w:rPr>
        <w:t xml:space="preserve">“la CIDH, no sostiene de forma uniforme una definición de la noción de </w:t>
      </w:r>
      <w:r w:rsidR="00EE64E2" w:rsidRPr="00517388">
        <w:rPr>
          <w:rFonts w:ascii="Arial" w:hAnsi="Arial" w:cs="Arial"/>
          <w:i/>
          <w:iCs/>
          <w:sz w:val="24"/>
          <w:szCs w:val="24"/>
        </w:rPr>
        <w:t xml:space="preserve">diligencia debida </w:t>
      </w:r>
      <w:r w:rsidR="00EE64E2" w:rsidRPr="00517388">
        <w:rPr>
          <w:rFonts w:ascii="Arial" w:hAnsi="Arial" w:cs="Arial"/>
          <w:i/>
          <w:sz w:val="24"/>
          <w:szCs w:val="24"/>
        </w:rPr>
        <w:t>en su jurisprudencia. Tampoco se ha expedido extensamente respecto de su fundamento ni ha otorgado suficientes elementos teóricos como para inducirlo</w:t>
      </w:r>
      <w:r w:rsidR="000C5DBF" w:rsidRPr="00517388">
        <w:rPr>
          <w:rFonts w:ascii="Arial" w:hAnsi="Arial" w:cs="Arial"/>
          <w:i/>
          <w:sz w:val="24"/>
          <w:szCs w:val="24"/>
        </w:rPr>
        <w:t>.</w:t>
      </w:r>
      <w:r w:rsidR="00EE64E2" w:rsidRPr="00517388">
        <w:rPr>
          <w:rFonts w:ascii="Arial" w:hAnsi="Arial" w:cs="Arial"/>
          <w:i/>
          <w:sz w:val="24"/>
          <w:szCs w:val="24"/>
        </w:rPr>
        <w:t xml:space="preserve"> Respecto de su contenido, la CIDH acuerda con la doctrina que se trata de una categoría de contenido flexible, y siendo consecuente con dicha consideración, fija distintos estándares de diligencia“</w:t>
      </w:r>
      <w:r w:rsidR="00154029">
        <w:rPr>
          <w:rFonts w:ascii="Arial" w:hAnsi="Arial" w:cs="Arial"/>
          <w:i/>
          <w:sz w:val="24"/>
          <w:szCs w:val="24"/>
        </w:rPr>
        <w:t xml:space="preserve"> </w:t>
      </w:r>
      <w:r w:rsidR="000C5DBF" w:rsidRPr="00517388">
        <w:rPr>
          <w:rFonts w:ascii="Arial" w:hAnsi="Arial" w:cs="Arial"/>
          <w:sz w:val="24"/>
          <w:szCs w:val="24"/>
        </w:rPr>
        <w:t>de acuerdo al caso.</w:t>
      </w:r>
      <w:r w:rsidR="001F7958" w:rsidRPr="00517388">
        <w:rPr>
          <w:rStyle w:val="Refdenotaalpie"/>
          <w:rFonts w:ascii="Arial" w:hAnsi="Arial" w:cs="Arial"/>
          <w:sz w:val="24"/>
          <w:szCs w:val="24"/>
        </w:rPr>
        <w:footnoteReference w:id="8"/>
      </w:r>
    </w:p>
    <w:p w14:paraId="1BD46B06" w14:textId="5AE2B2B3" w:rsidR="00AF370E" w:rsidRPr="00517388" w:rsidRDefault="00EE64E2" w:rsidP="00EE64E2">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Desde la perspectiva de la debida diligencia aplicada a los deberes procesales, se ha sintetizado en </w:t>
      </w:r>
      <w:r w:rsidR="000C5DBF" w:rsidRPr="00517388">
        <w:rPr>
          <w:rFonts w:ascii="Arial" w:hAnsi="Arial" w:cs="Arial"/>
          <w:sz w:val="24"/>
          <w:szCs w:val="24"/>
        </w:rPr>
        <w:t xml:space="preserve">torno a </w:t>
      </w:r>
      <w:r w:rsidRPr="00517388">
        <w:rPr>
          <w:rFonts w:ascii="Arial" w:hAnsi="Arial" w:cs="Arial"/>
          <w:sz w:val="24"/>
          <w:szCs w:val="24"/>
        </w:rPr>
        <w:t xml:space="preserve">los principios de </w:t>
      </w:r>
      <w:r w:rsidR="00AF370E" w:rsidRPr="00517388">
        <w:rPr>
          <w:rFonts w:ascii="Arial" w:hAnsi="Arial" w:cs="Arial"/>
          <w:sz w:val="24"/>
          <w:szCs w:val="24"/>
        </w:rPr>
        <w:t>Oficiosidad; Oportunidad;</w:t>
      </w:r>
      <w:r w:rsidR="00295C6D" w:rsidRPr="00517388">
        <w:rPr>
          <w:rFonts w:ascii="Arial" w:hAnsi="Arial" w:cs="Arial"/>
          <w:sz w:val="24"/>
          <w:szCs w:val="24"/>
        </w:rPr>
        <w:t xml:space="preserve"> </w:t>
      </w:r>
      <w:r w:rsidR="00AF370E" w:rsidRPr="00517388">
        <w:rPr>
          <w:rFonts w:ascii="Arial" w:hAnsi="Arial" w:cs="Arial"/>
          <w:sz w:val="24"/>
          <w:szCs w:val="24"/>
        </w:rPr>
        <w:t>Competencia; Independencia e imparcialidad; Exhaustividad y Participación de</w:t>
      </w:r>
      <w:r w:rsidR="00295C6D" w:rsidRPr="00517388">
        <w:rPr>
          <w:rFonts w:ascii="Arial" w:hAnsi="Arial" w:cs="Arial"/>
          <w:sz w:val="24"/>
          <w:szCs w:val="24"/>
        </w:rPr>
        <w:t xml:space="preserve"> </w:t>
      </w:r>
      <w:r w:rsidR="00AF370E" w:rsidRPr="00517388">
        <w:rPr>
          <w:rFonts w:ascii="Arial" w:hAnsi="Arial" w:cs="Arial"/>
          <w:sz w:val="24"/>
          <w:szCs w:val="24"/>
        </w:rPr>
        <w:t>las víctimas y sus familiares</w:t>
      </w:r>
      <w:r w:rsidRPr="00517388">
        <w:rPr>
          <w:rFonts w:ascii="Arial" w:hAnsi="Arial" w:cs="Arial"/>
          <w:sz w:val="24"/>
          <w:szCs w:val="24"/>
        </w:rPr>
        <w:t>.</w:t>
      </w:r>
      <w:r w:rsidRPr="00517388">
        <w:rPr>
          <w:rStyle w:val="Refdenotaalpie"/>
          <w:rFonts w:ascii="Arial" w:hAnsi="Arial" w:cs="Arial"/>
          <w:sz w:val="24"/>
          <w:szCs w:val="24"/>
        </w:rPr>
        <w:footnoteReference w:id="9"/>
      </w:r>
      <w:r w:rsidRPr="00517388">
        <w:rPr>
          <w:rFonts w:ascii="Arial" w:hAnsi="Arial" w:cs="Arial"/>
          <w:sz w:val="24"/>
          <w:szCs w:val="24"/>
        </w:rPr>
        <w:t xml:space="preserve"> </w:t>
      </w:r>
      <w:r w:rsidRPr="00517388">
        <w:rPr>
          <w:rStyle w:val="Refdenotaalpie"/>
          <w:rFonts w:ascii="Arial" w:hAnsi="Arial" w:cs="Arial"/>
          <w:sz w:val="24"/>
          <w:szCs w:val="24"/>
        </w:rPr>
        <w:footnoteReference w:id="10"/>
      </w:r>
      <w:r w:rsidR="00AF370E" w:rsidRPr="00517388">
        <w:rPr>
          <w:rFonts w:ascii="Arial" w:hAnsi="Arial" w:cs="Arial"/>
          <w:sz w:val="24"/>
          <w:szCs w:val="24"/>
        </w:rPr>
        <w:t xml:space="preserve"> </w:t>
      </w:r>
    </w:p>
    <w:p w14:paraId="4B7E6C16" w14:textId="77777777" w:rsidR="00EE64E2" w:rsidRPr="00517388" w:rsidRDefault="00EE64E2" w:rsidP="00EE64E2">
      <w:pPr>
        <w:autoSpaceDE w:val="0"/>
        <w:autoSpaceDN w:val="0"/>
        <w:adjustRightInd w:val="0"/>
        <w:spacing w:after="0" w:line="240" w:lineRule="auto"/>
        <w:jc w:val="both"/>
        <w:rPr>
          <w:rFonts w:ascii="Arial" w:hAnsi="Arial" w:cs="Arial"/>
          <w:sz w:val="24"/>
          <w:szCs w:val="24"/>
        </w:rPr>
      </w:pPr>
    </w:p>
    <w:p w14:paraId="5520FC3E" w14:textId="6E664D99" w:rsidR="00872513" w:rsidRPr="00517388" w:rsidRDefault="00872513" w:rsidP="00872513">
      <w:pPr>
        <w:jc w:val="both"/>
        <w:rPr>
          <w:rFonts w:ascii="Arial" w:hAnsi="Arial" w:cs="Arial"/>
          <w:sz w:val="24"/>
          <w:szCs w:val="24"/>
        </w:rPr>
      </w:pPr>
      <w:r w:rsidRPr="00517388">
        <w:rPr>
          <w:rFonts w:ascii="Arial" w:hAnsi="Arial" w:cs="Arial"/>
          <w:sz w:val="24"/>
          <w:szCs w:val="24"/>
        </w:rPr>
        <w:t>Finalmente, desde e</w:t>
      </w:r>
      <w:r w:rsidR="000C5DBF" w:rsidRPr="00517388">
        <w:rPr>
          <w:rFonts w:ascii="Arial" w:hAnsi="Arial" w:cs="Arial"/>
          <w:sz w:val="24"/>
          <w:szCs w:val="24"/>
        </w:rPr>
        <w:t>l ángulo de la Comisión Interam</w:t>
      </w:r>
      <w:r w:rsidRPr="00517388">
        <w:rPr>
          <w:rFonts w:ascii="Arial" w:hAnsi="Arial" w:cs="Arial"/>
          <w:sz w:val="24"/>
          <w:szCs w:val="24"/>
        </w:rPr>
        <w:t xml:space="preserve">ericana de Derechos Humanos y la Relatoría de Derechos Económicos, Sociales y Culturales, los criterios fundamentales en materia de empresas y </w:t>
      </w:r>
      <w:r w:rsidR="000C5DBF" w:rsidRPr="00517388">
        <w:rPr>
          <w:rFonts w:ascii="Arial" w:hAnsi="Arial" w:cs="Arial"/>
          <w:sz w:val="24"/>
          <w:szCs w:val="24"/>
        </w:rPr>
        <w:t>DDHH</w:t>
      </w:r>
      <w:r w:rsidRPr="00517388">
        <w:rPr>
          <w:rFonts w:ascii="Arial" w:hAnsi="Arial" w:cs="Arial"/>
          <w:sz w:val="24"/>
          <w:szCs w:val="24"/>
        </w:rPr>
        <w:t xml:space="preserve"> incluyen</w:t>
      </w:r>
      <w:r w:rsidR="000C5DBF" w:rsidRPr="00517388">
        <w:rPr>
          <w:rFonts w:ascii="Arial" w:hAnsi="Arial" w:cs="Arial"/>
          <w:sz w:val="24"/>
          <w:szCs w:val="24"/>
        </w:rPr>
        <w:t xml:space="preserve"> el deber de diligencia formulado como deber de </w:t>
      </w:r>
      <w:r w:rsidRPr="00517388">
        <w:rPr>
          <w:rFonts w:ascii="Arial" w:hAnsi="Arial" w:cs="Arial"/>
          <w:sz w:val="24"/>
          <w:szCs w:val="24"/>
        </w:rPr>
        <w:t>prevención</w:t>
      </w:r>
      <w:r w:rsidR="000C5DBF" w:rsidRPr="00517388">
        <w:rPr>
          <w:rFonts w:ascii="Arial" w:hAnsi="Arial" w:cs="Arial"/>
          <w:sz w:val="24"/>
          <w:szCs w:val="24"/>
        </w:rPr>
        <w:t xml:space="preserve">, </w:t>
      </w:r>
      <w:r w:rsidRPr="00517388">
        <w:rPr>
          <w:rFonts w:ascii="Arial" w:hAnsi="Arial" w:cs="Arial"/>
          <w:sz w:val="24"/>
          <w:szCs w:val="24"/>
        </w:rPr>
        <w:t>según expresa García Muñoz</w:t>
      </w:r>
      <w:r w:rsidRPr="00517388">
        <w:rPr>
          <w:rStyle w:val="Refdenotaalpie"/>
          <w:rFonts w:ascii="Arial" w:hAnsi="Arial" w:cs="Arial"/>
          <w:sz w:val="24"/>
          <w:szCs w:val="24"/>
        </w:rPr>
        <w:footnoteReference w:id="11"/>
      </w:r>
      <w:r w:rsidRPr="00517388">
        <w:rPr>
          <w:rFonts w:ascii="Arial" w:hAnsi="Arial" w:cs="Arial"/>
          <w:sz w:val="24"/>
          <w:szCs w:val="24"/>
        </w:rPr>
        <w:t>:</w:t>
      </w:r>
    </w:p>
    <w:p w14:paraId="6D79CC88" w14:textId="742443AE" w:rsidR="00872513" w:rsidRPr="00517388" w:rsidRDefault="00872513" w:rsidP="00872513">
      <w:pPr>
        <w:ind w:left="567" w:right="566"/>
        <w:jc w:val="both"/>
        <w:rPr>
          <w:rFonts w:ascii="Arial" w:hAnsi="Arial" w:cs="Arial"/>
          <w:sz w:val="24"/>
          <w:szCs w:val="24"/>
        </w:rPr>
      </w:pPr>
      <w:r w:rsidRPr="00517388">
        <w:rPr>
          <w:rFonts w:ascii="Arial" w:hAnsi="Arial" w:cs="Arial"/>
          <w:sz w:val="24"/>
          <w:szCs w:val="24"/>
        </w:rPr>
        <w:lastRenderedPageBreak/>
        <w:t>En el contexto de empresas y derechos humanos, la debida diligencia no sólo se refiere a las acciones exigidas al Estado ampliamente desarrolladas por los órganos del sistema interamericano con objeto de garantizar los derechos humanos y proteger a las personas de violaciones a sus derechos. También comprende la debida diligencia en materia de derechos humanos que los Estados deben exigir a las empresas en el plano interno, la cual constituye un proceso continuo de gestión que una empresa debe llevar a cabo “a la luz de sus circunstancias (como el sector en el que opera, el contexto en que realiza su actividad, su tamaño y otros factores) para hacer frente a su responsabilidad de respetar los derechos humanos”. En ese sentido, el hecho de no llevar a cabo un proceso adecuado de debida diligencia desde el Estado o las empresas puede afectar el grado de participación de cada agente en los impactos adversos sobre los derechos humanos y la subsecuente atribución de responsabilidad por tales hechos. Entonces, la debida diligencia en materia de derechos humanos se ubica en la raíz del establecimiento de sistemas y procesos de derechos humanos efectivos, para identificar, prevenir, mitigar y rendir cuentas por los daños que causan, a los cuales contribuyen o con los cuales las empresas y los Estados están relacionados.</w:t>
      </w:r>
    </w:p>
    <w:p w14:paraId="118372C3" w14:textId="3F4D726E" w:rsidR="00AF370E" w:rsidRPr="00517388" w:rsidRDefault="00AF370E" w:rsidP="00AB64B1">
      <w:pPr>
        <w:jc w:val="both"/>
        <w:rPr>
          <w:rFonts w:ascii="Arial" w:hAnsi="Arial" w:cs="Arial"/>
          <w:sz w:val="24"/>
          <w:szCs w:val="24"/>
        </w:rPr>
      </w:pPr>
    </w:p>
    <w:p w14:paraId="44CD769B" w14:textId="2CCF5B2F" w:rsidR="00567E30" w:rsidRPr="00517388" w:rsidRDefault="00D83AF7" w:rsidP="00D83AF7">
      <w:pPr>
        <w:jc w:val="both"/>
        <w:rPr>
          <w:rFonts w:ascii="Arial" w:hAnsi="Arial" w:cs="Arial"/>
          <w:sz w:val="24"/>
          <w:szCs w:val="24"/>
        </w:rPr>
      </w:pPr>
      <w:r w:rsidRPr="00517388">
        <w:rPr>
          <w:rFonts w:ascii="Arial" w:hAnsi="Arial" w:cs="Arial"/>
          <w:b/>
          <w:bCs/>
          <w:sz w:val="24"/>
          <w:szCs w:val="24"/>
        </w:rPr>
        <w:t xml:space="preserve">II.2 </w:t>
      </w:r>
      <w:r w:rsidR="00AD7347" w:rsidRPr="00517388">
        <w:rPr>
          <w:rFonts w:ascii="Arial" w:hAnsi="Arial" w:cs="Arial"/>
          <w:b/>
          <w:bCs/>
          <w:sz w:val="24"/>
          <w:szCs w:val="24"/>
        </w:rPr>
        <w:t xml:space="preserve">La debida diligencia en el marco de los instrumentos internacionales sobre </w:t>
      </w:r>
      <w:r w:rsidR="00567E30" w:rsidRPr="00517388">
        <w:rPr>
          <w:rFonts w:ascii="Arial" w:hAnsi="Arial" w:cs="Arial"/>
          <w:b/>
          <w:bCs/>
          <w:sz w:val="24"/>
          <w:szCs w:val="24"/>
        </w:rPr>
        <w:t>conducta social o respons</w:t>
      </w:r>
      <w:r w:rsidR="00F304B4" w:rsidRPr="00517388">
        <w:rPr>
          <w:rFonts w:ascii="Arial" w:hAnsi="Arial" w:cs="Arial"/>
          <w:b/>
          <w:bCs/>
          <w:sz w:val="24"/>
          <w:szCs w:val="24"/>
        </w:rPr>
        <w:t>a</w:t>
      </w:r>
      <w:r w:rsidR="00567E30" w:rsidRPr="00517388">
        <w:rPr>
          <w:rFonts w:ascii="Arial" w:hAnsi="Arial" w:cs="Arial"/>
          <w:b/>
          <w:bCs/>
          <w:sz w:val="24"/>
          <w:szCs w:val="24"/>
        </w:rPr>
        <w:t xml:space="preserve">ble de las </w:t>
      </w:r>
      <w:r w:rsidR="00AD7347" w:rsidRPr="00517388">
        <w:rPr>
          <w:rFonts w:ascii="Arial" w:hAnsi="Arial" w:cs="Arial"/>
          <w:b/>
          <w:bCs/>
          <w:sz w:val="24"/>
          <w:szCs w:val="24"/>
        </w:rPr>
        <w:t xml:space="preserve">empresas </w:t>
      </w:r>
    </w:p>
    <w:p w14:paraId="5C5E5620" w14:textId="559B0416" w:rsidR="00567E30" w:rsidRPr="00517388" w:rsidRDefault="00AA2CA3" w:rsidP="00567E30">
      <w:pPr>
        <w:jc w:val="both"/>
        <w:rPr>
          <w:rFonts w:ascii="Arial" w:hAnsi="Arial" w:cs="Arial"/>
          <w:sz w:val="24"/>
          <w:szCs w:val="24"/>
        </w:rPr>
      </w:pPr>
      <w:r w:rsidRPr="00517388">
        <w:rPr>
          <w:rFonts w:ascii="Arial" w:hAnsi="Arial" w:cs="Arial"/>
          <w:sz w:val="24"/>
          <w:szCs w:val="24"/>
        </w:rPr>
        <w:t>Otro espacio</w:t>
      </w:r>
      <w:r w:rsidR="00F304B4" w:rsidRPr="00517388">
        <w:rPr>
          <w:rFonts w:ascii="Arial" w:hAnsi="Arial" w:cs="Arial"/>
          <w:sz w:val="24"/>
          <w:szCs w:val="24"/>
        </w:rPr>
        <w:t xml:space="preserve"> en </w:t>
      </w:r>
      <w:r w:rsidRPr="00517388">
        <w:rPr>
          <w:rFonts w:ascii="Arial" w:hAnsi="Arial" w:cs="Arial"/>
          <w:sz w:val="24"/>
          <w:szCs w:val="24"/>
        </w:rPr>
        <w:t xml:space="preserve">el cual la debida diligencia ha tenido un papel significativo ha sido en el marco de </w:t>
      </w:r>
      <w:r w:rsidR="00567E30" w:rsidRPr="00517388">
        <w:rPr>
          <w:rFonts w:ascii="Arial" w:hAnsi="Arial" w:cs="Arial"/>
          <w:sz w:val="24"/>
          <w:szCs w:val="24"/>
        </w:rPr>
        <w:t xml:space="preserve">los instrumentos no vinculantes sobre conducta social o responsable </w:t>
      </w:r>
      <w:r w:rsidR="00F304B4" w:rsidRPr="00517388">
        <w:rPr>
          <w:rFonts w:ascii="Arial" w:hAnsi="Arial" w:cs="Arial"/>
          <w:sz w:val="24"/>
          <w:szCs w:val="24"/>
        </w:rPr>
        <w:t>de las empresas multinacionales, lo que la aproxima sustantivamente a nuestro terreno del derecho del trabajo.</w:t>
      </w:r>
    </w:p>
    <w:p w14:paraId="3E3584A5" w14:textId="77777777" w:rsidR="00E669D1" w:rsidRPr="00517388" w:rsidRDefault="00E669D1" w:rsidP="00567E30">
      <w:pPr>
        <w:pStyle w:val="Default"/>
        <w:jc w:val="both"/>
        <w:rPr>
          <w:rFonts w:ascii="Arial" w:hAnsi="Arial" w:cs="Arial"/>
        </w:rPr>
      </w:pPr>
    </w:p>
    <w:p w14:paraId="3EE09369" w14:textId="36F8A00D" w:rsidR="00E669D1" w:rsidRPr="00517388" w:rsidRDefault="00D83AF7" w:rsidP="00567E30">
      <w:pPr>
        <w:pStyle w:val="Default"/>
        <w:jc w:val="both"/>
        <w:rPr>
          <w:rFonts w:ascii="Arial" w:hAnsi="Arial" w:cs="Arial"/>
          <w:i/>
        </w:rPr>
      </w:pPr>
      <w:r w:rsidRPr="00517388">
        <w:rPr>
          <w:rFonts w:ascii="Arial" w:hAnsi="Arial" w:cs="Arial"/>
          <w:i/>
        </w:rPr>
        <w:t xml:space="preserve">II.2.1. </w:t>
      </w:r>
      <w:r w:rsidR="00E669D1" w:rsidRPr="00517388">
        <w:rPr>
          <w:rFonts w:ascii="Arial" w:hAnsi="Arial" w:cs="Arial"/>
          <w:i/>
        </w:rPr>
        <w:t>Los “Principios Rectores” de las Naciones Unidas y otros instrumentos no vinculantes</w:t>
      </w:r>
    </w:p>
    <w:p w14:paraId="27DC5D5B" w14:textId="77777777" w:rsidR="00E669D1" w:rsidRPr="00517388" w:rsidRDefault="00E669D1" w:rsidP="00567E30">
      <w:pPr>
        <w:pStyle w:val="Default"/>
        <w:jc w:val="both"/>
        <w:rPr>
          <w:rFonts w:ascii="Arial" w:hAnsi="Arial" w:cs="Arial"/>
        </w:rPr>
      </w:pPr>
    </w:p>
    <w:p w14:paraId="5F557B96" w14:textId="4DEF6B6D" w:rsidR="00567E30" w:rsidRPr="00517388" w:rsidRDefault="00567E30" w:rsidP="00567E30">
      <w:pPr>
        <w:pStyle w:val="Default"/>
        <w:jc w:val="both"/>
        <w:rPr>
          <w:rFonts w:ascii="Arial" w:hAnsi="Arial" w:cs="Arial"/>
        </w:rPr>
      </w:pPr>
      <w:r w:rsidRPr="00517388">
        <w:rPr>
          <w:rFonts w:ascii="Arial" w:hAnsi="Arial" w:cs="Arial"/>
        </w:rPr>
        <w:t xml:space="preserve">El ejemplo más emblemático </w:t>
      </w:r>
      <w:r w:rsidR="00F304B4" w:rsidRPr="00517388">
        <w:rPr>
          <w:rFonts w:ascii="Arial" w:hAnsi="Arial" w:cs="Arial"/>
        </w:rPr>
        <w:t xml:space="preserve">de este soft law </w:t>
      </w:r>
      <w:r w:rsidRPr="00517388">
        <w:rPr>
          <w:rFonts w:ascii="Arial" w:hAnsi="Arial" w:cs="Arial"/>
        </w:rPr>
        <w:t xml:space="preserve">ha sido el documento denominado </w:t>
      </w:r>
      <w:r w:rsidR="00556ACD" w:rsidRPr="00517388">
        <w:rPr>
          <w:rFonts w:ascii="Arial" w:hAnsi="Arial" w:cs="Arial"/>
        </w:rPr>
        <w:t xml:space="preserve">“Principios Rectores sobre las empresas y los </w:t>
      </w:r>
      <w:r w:rsidR="00F304B4" w:rsidRPr="00517388">
        <w:rPr>
          <w:rFonts w:ascii="Arial" w:hAnsi="Arial" w:cs="Arial"/>
        </w:rPr>
        <w:t>D</w:t>
      </w:r>
      <w:r w:rsidR="00556ACD" w:rsidRPr="00517388">
        <w:rPr>
          <w:rFonts w:ascii="Arial" w:hAnsi="Arial" w:cs="Arial"/>
        </w:rPr>
        <w:t>erech</w:t>
      </w:r>
      <w:r w:rsidR="00F304B4" w:rsidRPr="00517388">
        <w:rPr>
          <w:rFonts w:ascii="Arial" w:hAnsi="Arial" w:cs="Arial"/>
        </w:rPr>
        <w:t>os H</w:t>
      </w:r>
      <w:r w:rsidR="00556ACD" w:rsidRPr="00517388">
        <w:rPr>
          <w:rFonts w:ascii="Arial" w:hAnsi="Arial" w:cs="Arial"/>
        </w:rPr>
        <w:t>umanos: puesta en práctica del marco de las Naciones Unidas para proteger, respetar y remediar”</w:t>
      </w:r>
      <w:r w:rsidRPr="00517388">
        <w:rPr>
          <w:rFonts w:ascii="Arial" w:hAnsi="Arial" w:cs="Arial"/>
        </w:rPr>
        <w:t>, de 2011.</w:t>
      </w:r>
    </w:p>
    <w:p w14:paraId="20E3E45B" w14:textId="77777777" w:rsidR="00567E30" w:rsidRPr="00517388" w:rsidRDefault="00567E30" w:rsidP="00567E30">
      <w:pPr>
        <w:pStyle w:val="Default"/>
        <w:jc w:val="both"/>
        <w:rPr>
          <w:rFonts w:ascii="Arial" w:hAnsi="Arial" w:cs="Arial"/>
        </w:rPr>
      </w:pPr>
    </w:p>
    <w:p w14:paraId="13D0B7A9" w14:textId="77777777" w:rsidR="00F304B4" w:rsidRPr="00517388" w:rsidRDefault="00567E30" w:rsidP="00AB64B1">
      <w:pPr>
        <w:pStyle w:val="Default"/>
        <w:jc w:val="both"/>
        <w:rPr>
          <w:rFonts w:ascii="Arial" w:hAnsi="Arial" w:cs="Arial"/>
        </w:rPr>
      </w:pPr>
      <w:r w:rsidRPr="00517388">
        <w:rPr>
          <w:rFonts w:ascii="Arial" w:hAnsi="Arial" w:cs="Arial"/>
        </w:rPr>
        <w:t xml:space="preserve">Se trata de un instrumento que contiene 31 principios, estructurados en </w:t>
      </w:r>
      <w:r w:rsidR="00556ACD" w:rsidRPr="00517388">
        <w:rPr>
          <w:rFonts w:ascii="Arial" w:hAnsi="Arial" w:cs="Arial"/>
        </w:rPr>
        <w:t>tres pilares</w:t>
      </w:r>
      <w:r w:rsidRPr="00517388">
        <w:rPr>
          <w:rFonts w:ascii="Arial" w:hAnsi="Arial" w:cs="Arial"/>
        </w:rPr>
        <w:t xml:space="preserve"> que distinguen </w:t>
      </w:r>
      <w:r w:rsidR="00556ACD" w:rsidRPr="00517388">
        <w:rPr>
          <w:rFonts w:ascii="Arial" w:hAnsi="Arial" w:cs="Arial"/>
        </w:rPr>
        <w:t xml:space="preserve">entre </w:t>
      </w:r>
      <w:r w:rsidRPr="00517388">
        <w:rPr>
          <w:rFonts w:ascii="Arial" w:hAnsi="Arial" w:cs="Arial"/>
        </w:rPr>
        <w:t>“</w:t>
      </w:r>
      <w:r w:rsidR="00556ACD" w:rsidRPr="00517388">
        <w:rPr>
          <w:rFonts w:ascii="Arial" w:hAnsi="Arial" w:cs="Arial"/>
        </w:rPr>
        <w:t>fundacionales</w:t>
      </w:r>
      <w:r w:rsidRPr="00517388">
        <w:rPr>
          <w:rFonts w:ascii="Arial" w:hAnsi="Arial" w:cs="Arial"/>
        </w:rPr>
        <w:t>”</w:t>
      </w:r>
      <w:r w:rsidR="00556ACD" w:rsidRPr="00517388">
        <w:rPr>
          <w:rFonts w:ascii="Arial" w:hAnsi="Arial" w:cs="Arial"/>
        </w:rPr>
        <w:t xml:space="preserve"> y </w:t>
      </w:r>
      <w:r w:rsidRPr="00517388">
        <w:rPr>
          <w:rFonts w:ascii="Arial" w:hAnsi="Arial" w:cs="Arial"/>
        </w:rPr>
        <w:t>“</w:t>
      </w:r>
      <w:r w:rsidR="00556ACD" w:rsidRPr="00517388">
        <w:rPr>
          <w:rFonts w:ascii="Arial" w:hAnsi="Arial" w:cs="Arial"/>
        </w:rPr>
        <w:t>operacionales</w:t>
      </w:r>
      <w:r w:rsidRPr="00517388">
        <w:rPr>
          <w:rFonts w:ascii="Arial" w:hAnsi="Arial" w:cs="Arial"/>
        </w:rPr>
        <w:t>”</w:t>
      </w:r>
      <w:r w:rsidR="00F304B4" w:rsidRPr="00517388">
        <w:rPr>
          <w:rFonts w:ascii="Arial" w:hAnsi="Arial" w:cs="Arial"/>
        </w:rPr>
        <w:t xml:space="preserve"> en el que podemos distinguir</w:t>
      </w:r>
      <w:r w:rsidRPr="00517388">
        <w:rPr>
          <w:rFonts w:ascii="Arial" w:hAnsi="Arial" w:cs="Arial"/>
        </w:rPr>
        <w:t xml:space="preserve">: </w:t>
      </w:r>
    </w:p>
    <w:p w14:paraId="4E94BA63" w14:textId="77777777" w:rsidR="00F304B4" w:rsidRPr="00517388" w:rsidRDefault="00F304B4" w:rsidP="00AB64B1">
      <w:pPr>
        <w:pStyle w:val="Default"/>
        <w:jc w:val="both"/>
        <w:rPr>
          <w:rFonts w:ascii="Arial" w:hAnsi="Arial" w:cs="Arial"/>
        </w:rPr>
      </w:pPr>
    </w:p>
    <w:p w14:paraId="3ABF4181" w14:textId="77777777" w:rsidR="00F304B4" w:rsidRPr="00517388" w:rsidRDefault="00567E30" w:rsidP="00AB64B1">
      <w:pPr>
        <w:pStyle w:val="Default"/>
        <w:jc w:val="both"/>
        <w:rPr>
          <w:rFonts w:ascii="Arial" w:hAnsi="Arial" w:cs="Arial"/>
        </w:rPr>
      </w:pPr>
      <w:r w:rsidRPr="00517388">
        <w:rPr>
          <w:rFonts w:ascii="Arial" w:hAnsi="Arial" w:cs="Arial"/>
        </w:rPr>
        <w:t>a) e</w:t>
      </w:r>
      <w:r w:rsidR="00556ACD" w:rsidRPr="00517388">
        <w:rPr>
          <w:rFonts w:ascii="Arial" w:hAnsi="Arial" w:cs="Arial"/>
        </w:rPr>
        <w:t>l deber del Estado de proteger frente a abusos de los derechos humanos cometidos por terceros</w:t>
      </w:r>
      <w:r w:rsidRPr="00517388">
        <w:rPr>
          <w:rFonts w:ascii="Arial" w:hAnsi="Arial" w:cs="Arial"/>
        </w:rPr>
        <w:t xml:space="preserve"> (que comprende a las </w:t>
      </w:r>
      <w:r w:rsidR="00556ACD" w:rsidRPr="00517388">
        <w:rPr>
          <w:rFonts w:ascii="Arial" w:hAnsi="Arial" w:cs="Arial"/>
        </w:rPr>
        <w:t>empresas</w:t>
      </w:r>
      <w:r w:rsidRPr="00517388">
        <w:rPr>
          <w:rFonts w:ascii="Arial" w:hAnsi="Arial" w:cs="Arial"/>
        </w:rPr>
        <w:t>)</w:t>
      </w:r>
      <w:r w:rsidR="00556ACD" w:rsidRPr="00517388">
        <w:rPr>
          <w:rFonts w:ascii="Arial" w:hAnsi="Arial" w:cs="Arial"/>
        </w:rPr>
        <w:t xml:space="preserve">; </w:t>
      </w:r>
    </w:p>
    <w:p w14:paraId="0F2CA60F" w14:textId="77777777" w:rsidR="00F304B4" w:rsidRPr="00517388" w:rsidRDefault="00F304B4" w:rsidP="00AB64B1">
      <w:pPr>
        <w:pStyle w:val="Default"/>
        <w:jc w:val="both"/>
        <w:rPr>
          <w:rFonts w:ascii="Arial" w:hAnsi="Arial" w:cs="Arial"/>
        </w:rPr>
      </w:pPr>
    </w:p>
    <w:p w14:paraId="3EEB33D0" w14:textId="6F769353" w:rsidR="00F304B4" w:rsidRPr="00517388" w:rsidRDefault="00567E30" w:rsidP="00AB64B1">
      <w:pPr>
        <w:pStyle w:val="Default"/>
        <w:jc w:val="both"/>
        <w:rPr>
          <w:rFonts w:ascii="Arial" w:hAnsi="Arial" w:cs="Arial"/>
        </w:rPr>
      </w:pPr>
      <w:r w:rsidRPr="00517388">
        <w:rPr>
          <w:rFonts w:ascii="Arial" w:hAnsi="Arial" w:cs="Arial"/>
        </w:rPr>
        <w:t xml:space="preserve">b) </w:t>
      </w:r>
      <w:r w:rsidR="00556ACD" w:rsidRPr="00517388">
        <w:rPr>
          <w:rFonts w:ascii="Arial" w:hAnsi="Arial" w:cs="Arial"/>
        </w:rPr>
        <w:t xml:space="preserve">el deber de las empresas de respetar los </w:t>
      </w:r>
      <w:r w:rsidR="00F304B4" w:rsidRPr="00517388">
        <w:rPr>
          <w:rFonts w:ascii="Arial" w:hAnsi="Arial" w:cs="Arial"/>
        </w:rPr>
        <w:t>DDHH</w:t>
      </w:r>
      <w:r w:rsidR="00556ACD" w:rsidRPr="00517388">
        <w:rPr>
          <w:rFonts w:ascii="Arial" w:hAnsi="Arial" w:cs="Arial"/>
        </w:rPr>
        <w:t xml:space="preserve">; y </w:t>
      </w:r>
    </w:p>
    <w:p w14:paraId="1B2A1D18" w14:textId="77777777" w:rsidR="00F304B4" w:rsidRPr="00517388" w:rsidRDefault="00F304B4" w:rsidP="00AB64B1">
      <w:pPr>
        <w:pStyle w:val="Default"/>
        <w:jc w:val="both"/>
        <w:rPr>
          <w:rFonts w:ascii="Arial" w:hAnsi="Arial" w:cs="Arial"/>
        </w:rPr>
      </w:pPr>
    </w:p>
    <w:p w14:paraId="1ABAAF64" w14:textId="602F8C66" w:rsidR="00567E30" w:rsidRPr="00517388" w:rsidRDefault="00567E30" w:rsidP="00AB64B1">
      <w:pPr>
        <w:pStyle w:val="Default"/>
        <w:jc w:val="both"/>
        <w:rPr>
          <w:rFonts w:ascii="Arial" w:hAnsi="Arial" w:cs="Arial"/>
        </w:rPr>
      </w:pPr>
      <w:r w:rsidRPr="00517388">
        <w:rPr>
          <w:rFonts w:ascii="Arial" w:hAnsi="Arial" w:cs="Arial"/>
        </w:rPr>
        <w:lastRenderedPageBreak/>
        <w:t>c) u</w:t>
      </w:r>
      <w:r w:rsidR="00556ACD" w:rsidRPr="00517388">
        <w:rPr>
          <w:rFonts w:ascii="Arial" w:hAnsi="Arial" w:cs="Arial"/>
        </w:rPr>
        <w:t>n acceso más efectivo</w:t>
      </w:r>
      <w:r w:rsidRPr="00517388">
        <w:rPr>
          <w:rFonts w:ascii="Arial" w:hAnsi="Arial" w:cs="Arial"/>
        </w:rPr>
        <w:t xml:space="preserve"> a </w:t>
      </w:r>
      <w:r w:rsidR="00556ACD" w:rsidRPr="00517388">
        <w:rPr>
          <w:rFonts w:ascii="Arial" w:hAnsi="Arial" w:cs="Arial"/>
        </w:rPr>
        <w:t xml:space="preserve">recursos </w:t>
      </w:r>
      <w:r w:rsidRPr="00517388">
        <w:rPr>
          <w:rFonts w:ascii="Arial" w:hAnsi="Arial" w:cs="Arial"/>
        </w:rPr>
        <w:t xml:space="preserve">judiciales </w:t>
      </w:r>
      <w:r w:rsidR="00556ACD" w:rsidRPr="00517388">
        <w:rPr>
          <w:rFonts w:ascii="Arial" w:hAnsi="Arial" w:cs="Arial"/>
        </w:rPr>
        <w:t>para las víctimas de abusos</w:t>
      </w:r>
      <w:r w:rsidRPr="00517388">
        <w:rPr>
          <w:rFonts w:ascii="Arial" w:hAnsi="Arial" w:cs="Arial"/>
        </w:rPr>
        <w:t>.</w:t>
      </w:r>
    </w:p>
    <w:p w14:paraId="3664B5E2" w14:textId="77777777" w:rsidR="008F5423" w:rsidRPr="00517388" w:rsidRDefault="008F5423" w:rsidP="00AB64B1">
      <w:pPr>
        <w:pStyle w:val="Default"/>
        <w:jc w:val="both"/>
        <w:rPr>
          <w:rFonts w:ascii="Arial" w:hAnsi="Arial" w:cs="Arial"/>
        </w:rPr>
      </w:pPr>
    </w:p>
    <w:p w14:paraId="64A6AE0E" w14:textId="3F097C7B" w:rsidR="008F5423" w:rsidRPr="00517388" w:rsidRDefault="008F5423" w:rsidP="00F304B4">
      <w:pPr>
        <w:pStyle w:val="Default"/>
        <w:jc w:val="both"/>
        <w:rPr>
          <w:rFonts w:ascii="Arial" w:hAnsi="Arial" w:cs="Arial"/>
          <w:i/>
        </w:rPr>
      </w:pPr>
      <w:r w:rsidRPr="00517388">
        <w:rPr>
          <w:rFonts w:ascii="Arial" w:hAnsi="Arial" w:cs="Arial"/>
        </w:rPr>
        <w:t>La “</w:t>
      </w:r>
      <w:r w:rsidR="00F304B4" w:rsidRPr="00517388">
        <w:rPr>
          <w:rFonts w:ascii="Arial" w:hAnsi="Arial" w:cs="Arial"/>
        </w:rPr>
        <w:t xml:space="preserve">debida </w:t>
      </w:r>
      <w:r w:rsidRPr="00517388">
        <w:rPr>
          <w:rFonts w:ascii="Arial" w:hAnsi="Arial" w:cs="Arial"/>
        </w:rPr>
        <w:t xml:space="preserve">diligencia” es </w:t>
      </w:r>
      <w:r w:rsidR="00F304B4" w:rsidRPr="00517388">
        <w:rPr>
          <w:rFonts w:ascii="Arial" w:hAnsi="Arial" w:cs="Arial"/>
        </w:rPr>
        <w:t xml:space="preserve">encarada </w:t>
      </w:r>
      <w:r w:rsidRPr="00517388">
        <w:rPr>
          <w:rFonts w:ascii="Arial" w:hAnsi="Arial" w:cs="Arial"/>
        </w:rPr>
        <w:t>como un proceso que debe llevar a cabo la empresa con el objetivo de cumplir con su obligación de respetar los derechos humanos</w:t>
      </w:r>
      <w:r w:rsidR="00F304B4" w:rsidRPr="00517388">
        <w:rPr>
          <w:rFonts w:ascii="Arial" w:hAnsi="Arial" w:cs="Arial"/>
        </w:rPr>
        <w:t xml:space="preserve">;  </w:t>
      </w:r>
      <w:r w:rsidRPr="00517388">
        <w:rPr>
          <w:rFonts w:ascii="Arial" w:hAnsi="Arial" w:cs="Arial"/>
        </w:rPr>
        <w:t>de acuerdo al documento de interpretación de los Principios Rectores, puede definirse como el “</w:t>
      </w:r>
      <w:r w:rsidRPr="00517388">
        <w:rPr>
          <w:rFonts w:ascii="Arial" w:hAnsi="Arial" w:cs="Arial"/>
          <w:i/>
        </w:rPr>
        <w:t xml:space="preserve">proceso continuo de gestión que una empresa prudente y razonable debe llevar a cabo, a la luz de sus circunstancias (como el sector en el que opera, el contexto en que realiza su actividad, su tamaño y otros factores) para hacer frente a su responsabilidad de respetar los derechos humanos”. </w:t>
      </w:r>
    </w:p>
    <w:p w14:paraId="3142423D" w14:textId="77777777" w:rsidR="00E669D1" w:rsidRPr="00517388" w:rsidRDefault="00E669D1" w:rsidP="008F5423">
      <w:pPr>
        <w:pStyle w:val="Default"/>
        <w:jc w:val="both"/>
        <w:rPr>
          <w:rFonts w:ascii="Arial" w:hAnsi="Arial" w:cs="Arial"/>
        </w:rPr>
      </w:pPr>
    </w:p>
    <w:p w14:paraId="69F95891" w14:textId="77777777" w:rsidR="00F304B4" w:rsidRPr="00517388" w:rsidRDefault="00FD0352" w:rsidP="008F5423">
      <w:pPr>
        <w:pStyle w:val="Default"/>
        <w:jc w:val="both"/>
        <w:rPr>
          <w:rFonts w:ascii="Arial" w:hAnsi="Arial" w:cs="Arial"/>
        </w:rPr>
      </w:pPr>
      <w:r w:rsidRPr="00517388">
        <w:rPr>
          <w:rFonts w:ascii="Arial" w:hAnsi="Arial" w:cs="Arial"/>
        </w:rPr>
        <w:t xml:space="preserve">La obligación de conducirse </w:t>
      </w:r>
      <w:r w:rsidR="008F5423" w:rsidRPr="00517388">
        <w:rPr>
          <w:rFonts w:ascii="Arial" w:hAnsi="Arial" w:cs="Arial"/>
        </w:rPr>
        <w:t>con la d</w:t>
      </w:r>
      <w:r w:rsidRPr="00517388">
        <w:rPr>
          <w:rFonts w:ascii="Arial" w:hAnsi="Arial" w:cs="Arial"/>
        </w:rPr>
        <w:t xml:space="preserve">ebida diligencia se encuentra prevista en el el </w:t>
      </w:r>
      <w:r w:rsidR="008F5423" w:rsidRPr="00517388">
        <w:rPr>
          <w:rFonts w:ascii="Arial" w:hAnsi="Arial" w:cs="Arial"/>
        </w:rPr>
        <w:t xml:space="preserve">principio </w:t>
      </w:r>
      <w:r w:rsidRPr="00517388">
        <w:rPr>
          <w:rFonts w:ascii="Arial" w:hAnsi="Arial" w:cs="Arial"/>
        </w:rPr>
        <w:t xml:space="preserve">Nº </w:t>
      </w:r>
      <w:r w:rsidR="008F5423" w:rsidRPr="00517388">
        <w:rPr>
          <w:rFonts w:ascii="Arial" w:hAnsi="Arial" w:cs="Arial"/>
        </w:rPr>
        <w:t xml:space="preserve">15. </w:t>
      </w:r>
    </w:p>
    <w:p w14:paraId="0ED32E2F" w14:textId="77777777" w:rsidR="00F304B4" w:rsidRPr="00517388" w:rsidRDefault="00F304B4" w:rsidP="008F5423">
      <w:pPr>
        <w:pStyle w:val="Default"/>
        <w:jc w:val="both"/>
        <w:rPr>
          <w:rFonts w:ascii="Arial" w:hAnsi="Arial" w:cs="Arial"/>
        </w:rPr>
      </w:pPr>
    </w:p>
    <w:p w14:paraId="1FFE5C33" w14:textId="3463C3E0" w:rsidR="00FD0352" w:rsidRPr="00517388" w:rsidRDefault="00FD0352" w:rsidP="008F5423">
      <w:pPr>
        <w:pStyle w:val="Default"/>
        <w:jc w:val="both"/>
        <w:rPr>
          <w:rFonts w:ascii="Arial" w:hAnsi="Arial" w:cs="Arial"/>
        </w:rPr>
      </w:pPr>
      <w:r w:rsidRPr="00517388">
        <w:rPr>
          <w:rFonts w:ascii="Arial" w:hAnsi="Arial" w:cs="Arial"/>
        </w:rPr>
        <w:t xml:space="preserve">De modo más general, el instrumento prevé que </w:t>
      </w:r>
      <w:r w:rsidR="00F304B4" w:rsidRPr="00517388">
        <w:rPr>
          <w:rFonts w:ascii="Arial" w:hAnsi="Arial" w:cs="Arial"/>
        </w:rPr>
        <w:t>para re</w:t>
      </w:r>
      <w:r w:rsidR="008F5423" w:rsidRPr="00517388">
        <w:rPr>
          <w:rFonts w:ascii="Arial" w:hAnsi="Arial" w:cs="Arial"/>
        </w:rPr>
        <w:t xml:space="preserve">spetar los </w:t>
      </w:r>
      <w:r w:rsidR="00F304B4" w:rsidRPr="00517388">
        <w:rPr>
          <w:rFonts w:ascii="Arial" w:hAnsi="Arial" w:cs="Arial"/>
        </w:rPr>
        <w:t>DDHH</w:t>
      </w:r>
      <w:r w:rsidR="008F5423" w:rsidRPr="00517388">
        <w:rPr>
          <w:rFonts w:ascii="Arial" w:hAnsi="Arial" w:cs="Arial"/>
        </w:rPr>
        <w:t xml:space="preserve"> las empresas debe</w:t>
      </w:r>
      <w:r w:rsidR="00F304B4" w:rsidRPr="00517388">
        <w:rPr>
          <w:rFonts w:ascii="Arial" w:hAnsi="Arial" w:cs="Arial"/>
        </w:rPr>
        <w:t>rá</w:t>
      </w:r>
      <w:r w:rsidR="008F5423" w:rsidRPr="00517388">
        <w:rPr>
          <w:rFonts w:ascii="Arial" w:hAnsi="Arial" w:cs="Arial"/>
        </w:rPr>
        <w:t xml:space="preserve">n contar con políticas y procedimientos apropiados en función de su tamaño y circunstancias, </w:t>
      </w:r>
      <w:r w:rsidRPr="00517388">
        <w:rPr>
          <w:rFonts w:ascii="Arial" w:hAnsi="Arial" w:cs="Arial"/>
        </w:rPr>
        <w:t xml:space="preserve">notas en las cuales la debida diligencia juega en el plano de la identificación, prevención, mitigación y rendición de cuentas de cómo afrontan el tópico del </w:t>
      </w:r>
      <w:r w:rsidR="008F5423" w:rsidRPr="00517388">
        <w:rPr>
          <w:rFonts w:ascii="Arial" w:hAnsi="Arial" w:cs="Arial"/>
        </w:rPr>
        <w:t xml:space="preserve">impacto </w:t>
      </w:r>
      <w:r w:rsidR="00F304B4" w:rsidRPr="00517388">
        <w:rPr>
          <w:rFonts w:ascii="Arial" w:hAnsi="Arial" w:cs="Arial"/>
        </w:rPr>
        <w:t xml:space="preserve">que pueden provocar </w:t>
      </w:r>
      <w:r w:rsidR="008F5423" w:rsidRPr="00517388">
        <w:rPr>
          <w:rFonts w:ascii="Arial" w:hAnsi="Arial" w:cs="Arial"/>
        </w:rPr>
        <w:t xml:space="preserve">sobre los </w:t>
      </w:r>
      <w:r w:rsidR="00F304B4" w:rsidRPr="00517388">
        <w:rPr>
          <w:rFonts w:ascii="Arial" w:hAnsi="Arial" w:cs="Arial"/>
        </w:rPr>
        <w:t>DDHH</w:t>
      </w:r>
      <w:r w:rsidRPr="00517388">
        <w:rPr>
          <w:rFonts w:ascii="Arial" w:hAnsi="Arial" w:cs="Arial"/>
        </w:rPr>
        <w:t>.</w:t>
      </w:r>
    </w:p>
    <w:p w14:paraId="095F5C61" w14:textId="069E43F3" w:rsidR="008F5423" w:rsidRPr="00517388" w:rsidRDefault="008F5423" w:rsidP="008F5423">
      <w:pPr>
        <w:pStyle w:val="Default"/>
        <w:jc w:val="both"/>
        <w:rPr>
          <w:rFonts w:ascii="Arial" w:hAnsi="Arial" w:cs="Arial"/>
        </w:rPr>
      </w:pPr>
      <w:r w:rsidRPr="00517388">
        <w:rPr>
          <w:rFonts w:ascii="Arial" w:hAnsi="Arial" w:cs="Arial"/>
        </w:rPr>
        <w:t xml:space="preserve"> </w:t>
      </w:r>
    </w:p>
    <w:p w14:paraId="5B8CC69D" w14:textId="6C8C21F3" w:rsidR="00FD0352" w:rsidRPr="00517388" w:rsidRDefault="00FD0352" w:rsidP="008F5423">
      <w:pPr>
        <w:pStyle w:val="Default"/>
        <w:jc w:val="both"/>
        <w:rPr>
          <w:rFonts w:ascii="Arial" w:hAnsi="Arial" w:cs="Arial"/>
        </w:rPr>
      </w:pPr>
      <w:r w:rsidRPr="00517388">
        <w:rPr>
          <w:rFonts w:ascii="Arial" w:hAnsi="Arial" w:cs="Arial"/>
        </w:rPr>
        <w:t xml:space="preserve">El </w:t>
      </w:r>
      <w:r w:rsidR="008F5423" w:rsidRPr="00517388">
        <w:rPr>
          <w:rFonts w:ascii="Arial" w:hAnsi="Arial" w:cs="Arial"/>
        </w:rPr>
        <w:t xml:space="preserve">Principio operativo </w:t>
      </w:r>
      <w:r w:rsidRPr="00517388">
        <w:rPr>
          <w:rFonts w:ascii="Arial" w:hAnsi="Arial" w:cs="Arial"/>
        </w:rPr>
        <w:t xml:space="preserve">Nº </w:t>
      </w:r>
      <w:r w:rsidR="008F5423" w:rsidRPr="00517388">
        <w:rPr>
          <w:rFonts w:ascii="Arial" w:hAnsi="Arial" w:cs="Arial"/>
        </w:rPr>
        <w:t xml:space="preserve">17 </w:t>
      </w:r>
      <w:r w:rsidRPr="00517388">
        <w:rPr>
          <w:rFonts w:ascii="Arial" w:hAnsi="Arial" w:cs="Arial"/>
        </w:rPr>
        <w:t>tiene interés para nuestro tema en tanto desgrana</w:t>
      </w:r>
      <w:r w:rsidR="00F304B4" w:rsidRPr="00517388">
        <w:rPr>
          <w:rFonts w:ascii="Arial" w:hAnsi="Arial" w:cs="Arial"/>
        </w:rPr>
        <w:t xml:space="preserve"> </w:t>
      </w:r>
      <w:r w:rsidRPr="00517388">
        <w:rPr>
          <w:rFonts w:ascii="Arial" w:hAnsi="Arial" w:cs="Arial"/>
        </w:rPr>
        <w:t xml:space="preserve"> </w:t>
      </w:r>
      <w:r w:rsidR="008F5423" w:rsidRPr="00517388">
        <w:rPr>
          <w:rFonts w:ascii="Arial" w:hAnsi="Arial" w:cs="Arial"/>
        </w:rPr>
        <w:t xml:space="preserve"> las obligaciones específicas </w:t>
      </w:r>
      <w:r w:rsidR="00A16D2C" w:rsidRPr="00517388">
        <w:rPr>
          <w:rFonts w:ascii="Arial" w:hAnsi="Arial" w:cs="Arial"/>
        </w:rPr>
        <w:t xml:space="preserve">que </w:t>
      </w:r>
      <w:r w:rsidR="008F5423" w:rsidRPr="00517388">
        <w:rPr>
          <w:rFonts w:ascii="Arial" w:hAnsi="Arial" w:cs="Arial"/>
        </w:rPr>
        <w:t>las empresas</w:t>
      </w:r>
      <w:r w:rsidR="00F304B4" w:rsidRPr="00517388">
        <w:rPr>
          <w:rFonts w:ascii="Arial" w:hAnsi="Arial" w:cs="Arial"/>
        </w:rPr>
        <w:t xml:space="preserve"> deben cumplir</w:t>
      </w:r>
      <w:r w:rsidR="008F5423" w:rsidRPr="00517388">
        <w:rPr>
          <w:rFonts w:ascii="Arial" w:hAnsi="Arial" w:cs="Arial"/>
        </w:rPr>
        <w:t xml:space="preserve"> </w:t>
      </w:r>
      <w:r w:rsidRPr="00517388">
        <w:rPr>
          <w:rFonts w:ascii="Arial" w:hAnsi="Arial" w:cs="Arial"/>
        </w:rPr>
        <w:t>en materia de debida diligencia</w:t>
      </w:r>
      <w:r w:rsidR="00F304B4" w:rsidRPr="00517388">
        <w:rPr>
          <w:rFonts w:ascii="Arial" w:hAnsi="Arial" w:cs="Arial"/>
        </w:rPr>
        <w:t xml:space="preserve"> </w:t>
      </w:r>
      <w:r w:rsidRPr="00517388">
        <w:rPr>
          <w:rFonts w:ascii="Arial" w:hAnsi="Arial" w:cs="Arial"/>
        </w:rPr>
        <w:t xml:space="preserve">en el marco de la </w:t>
      </w:r>
      <w:r w:rsidR="008F5423" w:rsidRPr="00517388">
        <w:rPr>
          <w:rFonts w:ascii="Arial" w:hAnsi="Arial" w:cs="Arial"/>
        </w:rPr>
        <w:t xml:space="preserve">evaluación del impacto real y potencial de </w:t>
      </w:r>
      <w:r w:rsidR="00A16D2C" w:rsidRPr="00517388">
        <w:rPr>
          <w:rFonts w:ascii="Arial" w:hAnsi="Arial" w:cs="Arial"/>
        </w:rPr>
        <w:t>sus</w:t>
      </w:r>
      <w:r w:rsidR="008F5423" w:rsidRPr="00517388">
        <w:rPr>
          <w:rFonts w:ascii="Arial" w:hAnsi="Arial" w:cs="Arial"/>
        </w:rPr>
        <w:t xml:space="preserve"> actividades </w:t>
      </w:r>
      <w:r w:rsidR="00A16D2C" w:rsidRPr="00517388">
        <w:rPr>
          <w:rFonts w:ascii="Arial" w:hAnsi="Arial" w:cs="Arial"/>
        </w:rPr>
        <w:t>respecto de los DDHH</w:t>
      </w:r>
      <w:r w:rsidRPr="00517388">
        <w:rPr>
          <w:rFonts w:ascii="Arial" w:hAnsi="Arial" w:cs="Arial"/>
        </w:rPr>
        <w:t>.</w:t>
      </w:r>
    </w:p>
    <w:p w14:paraId="686EACA1" w14:textId="77777777" w:rsidR="00FD0352" w:rsidRPr="00517388" w:rsidRDefault="00FD0352" w:rsidP="008F5423">
      <w:pPr>
        <w:pStyle w:val="Default"/>
        <w:jc w:val="both"/>
        <w:rPr>
          <w:rFonts w:ascii="Arial" w:hAnsi="Arial" w:cs="Arial"/>
        </w:rPr>
      </w:pPr>
    </w:p>
    <w:p w14:paraId="2A67ADF6" w14:textId="227AF6E6" w:rsidR="00FD0352" w:rsidRPr="00517388" w:rsidRDefault="00FD0352" w:rsidP="00FD0352">
      <w:pPr>
        <w:pStyle w:val="Default"/>
        <w:jc w:val="both"/>
        <w:rPr>
          <w:rFonts w:ascii="Arial" w:hAnsi="Arial" w:cs="Arial"/>
        </w:rPr>
      </w:pPr>
      <w:r w:rsidRPr="00517388">
        <w:rPr>
          <w:rFonts w:ascii="Arial" w:hAnsi="Arial" w:cs="Arial"/>
        </w:rPr>
        <w:t>Conviene transcribir el dispositivo citado:</w:t>
      </w:r>
    </w:p>
    <w:p w14:paraId="66897D19" w14:textId="50E4D955" w:rsidR="008F5423" w:rsidRPr="00517388" w:rsidRDefault="008F5423" w:rsidP="008F5423">
      <w:pPr>
        <w:pStyle w:val="Default"/>
        <w:jc w:val="both"/>
        <w:rPr>
          <w:rFonts w:ascii="Arial" w:hAnsi="Arial" w:cs="Arial"/>
        </w:rPr>
      </w:pPr>
      <w:r w:rsidRPr="00517388">
        <w:rPr>
          <w:rFonts w:ascii="Arial" w:hAnsi="Arial" w:cs="Arial"/>
        </w:rPr>
        <w:t xml:space="preserve"> </w:t>
      </w:r>
    </w:p>
    <w:p w14:paraId="439113E7" w14:textId="77777777" w:rsidR="008F5423" w:rsidRPr="00517388" w:rsidRDefault="008F5423" w:rsidP="008F5423">
      <w:pPr>
        <w:pStyle w:val="Default"/>
        <w:jc w:val="both"/>
        <w:rPr>
          <w:rFonts w:ascii="Arial" w:hAnsi="Arial" w:cs="Arial"/>
          <w:i/>
        </w:rPr>
      </w:pPr>
      <w:r w:rsidRPr="00517388">
        <w:rPr>
          <w:rFonts w:ascii="Arial" w:hAnsi="Arial" w:cs="Arial"/>
        </w:rPr>
        <w:t>“</w:t>
      </w:r>
      <w:r w:rsidRPr="00517388">
        <w:rPr>
          <w:rFonts w:ascii="Arial" w:hAnsi="Arial" w:cs="Arial"/>
          <w:i/>
        </w:rPr>
        <w:t xml:space="preserve">La debida diligencia en materia de derechos humanos: </w:t>
      </w:r>
    </w:p>
    <w:p w14:paraId="56FF6934" w14:textId="77777777" w:rsidR="00A16D2C" w:rsidRPr="00517388" w:rsidRDefault="00A16D2C" w:rsidP="008F5423">
      <w:pPr>
        <w:pStyle w:val="Default"/>
        <w:jc w:val="both"/>
        <w:rPr>
          <w:rFonts w:ascii="Arial" w:hAnsi="Arial" w:cs="Arial"/>
          <w:i/>
        </w:rPr>
      </w:pPr>
    </w:p>
    <w:p w14:paraId="2FB56D5F" w14:textId="65140C04" w:rsidR="008F5423" w:rsidRPr="00517388" w:rsidRDefault="008F5423" w:rsidP="00FD0352">
      <w:pPr>
        <w:pStyle w:val="Default"/>
        <w:numPr>
          <w:ilvl w:val="0"/>
          <w:numId w:val="6"/>
        </w:numPr>
        <w:jc w:val="both"/>
        <w:rPr>
          <w:rFonts w:ascii="Arial" w:hAnsi="Arial" w:cs="Arial"/>
          <w:i/>
        </w:rPr>
      </w:pPr>
      <w:r w:rsidRPr="00517388">
        <w:rPr>
          <w:rFonts w:ascii="Arial" w:hAnsi="Arial" w:cs="Arial"/>
          <w:i/>
        </w:rPr>
        <w:t xml:space="preserve">Debe abarcar las consecuencias negativas sobre los derechos humanos que la empresa haya provocado o contribuido a provocar a través de sus propias actividades, o que guarden relación directa con sus operaciones, productos o servicios prestados por sus relaciones comerciales; </w:t>
      </w:r>
    </w:p>
    <w:p w14:paraId="625EACB2" w14:textId="77777777" w:rsidR="00FD0352" w:rsidRPr="00517388" w:rsidRDefault="00FD0352" w:rsidP="00FD0352">
      <w:pPr>
        <w:pStyle w:val="Default"/>
        <w:ind w:left="720"/>
        <w:jc w:val="both"/>
        <w:rPr>
          <w:rFonts w:ascii="Arial" w:hAnsi="Arial" w:cs="Arial"/>
          <w:i/>
        </w:rPr>
      </w:pPr>
    </w:p>
    <w:p w14:paraId="5E3190EE" w14:textId="75AC46E1" w:rsidR="008F5423" w:rsidRPr="00517388" w:rsidRDefault="008F5423" w:rsidP="00FD0352">
      <w:pPr>
        <w:pStyle w:val="Default"/>
        <w:numPr>
          <w:ilvl w:val="0"/>
          <w:numId w:val="6"/>
        </w:numPr>
        <w:jc w:val="both"/>
        <w:rPr>
          <w:rFonts w:ascii="Arial" w:hAnsi="Arial" w:cs="Arial"/>
          <w:i/>
        </w:rPr>
      </w:pPr>
      <w:r w:rsidRPr="00517388">
        <w:rPr>
          <w:rFonts w:ascii="Arial" w:hAnsi="Arial" w:cs="Arial"/>
          <w:i/>
        </w:rPr>
        <w:t xml:space="preserve">Variará de complejidad en función del tamaño de la empresa, el riesgo de graves consecuencias negativas sobre los derechos humanos y la naturaleza y el contexto de sus operaciones; </w:t>
      </w:r>
    </w:p>
    <w:p w14:paraId="6D280E69" w14:textId="77777777" w:rsidR="00FD0352" w:rsidRPr="00517388" w:rsidRDefault="00FD0352" w:rsidP="00FD0352">
      <w:pPr>
        <w:pStyle w:val="Prrafodelista"/>
        <w:rPr>
          <w:rFonts w:ascii="Arial" w:hAnsi="Arial" w:cs="Arial"/>
          <w:i/>
          <w:sz w:val="24"/>
          <w:szCs w:val="24"/>
        </w:rPr>
      </w:pPr>
    </w:p>
    <w:p w14:paraId="2E91D5E0" w14:textId="0D5AF68F" w:rsidR="008F5423" w:rsidRPr="00517388" w:rsidRDefault="008F5423" w:rsidP="00FD0352">
      <w:pPr>
        <w:pStyle w:val="Default"/>
        <w:numPr>
          <w:ilvl w:val="0"/>
          <w:numId w:val="6"/>
        </w:numPr>
        <w:jc w:val="both"/>
        <w:rPr>
          <w:rFonts w:ascii="Arial" w:hAnsi="Arial" w:cs="Arial"/>
          <w:i/>
        </w:rPr>
      </w:pPr>
      <w:r w:rsidRPr="00517388">
        <w:rPr>
          <w:rFonts w:ascii="Arial" w:hAnsi="Arial" w:cs="Arial"/>
          <w:i/>
        </w:rPr>
        <w:t>Debe ser un proceso continuo, ya que los riesgos para los derechos humanos pueden cambiar con el tiempo, en función de la evolución de las operaciones y el contexto operacional de las empr</w:t>
      </w:r>
      <w:r w:rsidR="00FD0352" w:rsidRPr="00517388">
        <w:rPr>
          <w:rFonts w:ascii="Arial" w:hAnsi="Arial" w:cs="Arial"/>
          <w:i/>
        </w:rPr>
        <w:t>esas.”</w:t>
      </w:r>
    </w:p>
    <w:p w14:paraId="1EB12812" w14:textId="77777777" w:rsidR="00FD0352" w:rsidRPr="00517388" w:rsidRDefault="00FD0352" w:rsidP="00FD0352">
      <w:pPr>
        <w:pStyle w:val="Prrafodelista"/>
        <w:rPr>
          <w:rFonts w:ascii="Arial" w:hAnsi="Arial" w:cs="Arial"/>
          <w:sz w:val="24"/>
          <w:szCs w:val="24"/>
        </w:rPr>
      </w:pPr>
    </w:p>
    <w:p w14:paraId="37E0DEAD" w14:textId="77777777" w:rsidR="00A16D2C" w:rsidRPr="00517388" w:rsidRDefault="00FD0352" w:rsidP="008F5423">
      <w:pPr>
        <w:jc w:val="both"/>
        <w:rPr>
          <w:rFonts w:ascii="Arial" w:hAnsi="Arial" w:cs="Arial"/>
          <w:sz w:val="24"/>
          <w:szCs w:val="24"/>
        </w:rPr>
      </w:pPr>
      <w:r w:rsidRPr="00517388">
        <w:rPr>
          <w:rFonts w:ascii="Arial" w:hAnsi="Arial" w:cs="Arial"/>
          <w:sz w:val="24"/>
          <w:szCs w:val="24"/>
        </w:rPr>
        <w:t>En síntesis, se ha dicho que</w:t>
      </w:r>
      <w:r w:rsidR="00A16D2C" w:rsidRPr="00517388">
        <w:rPr>
          <w:rFonts w:ascii="Arial" w:hAnsi="Arial" w:cs="Arial"/>
          <w:sz w:val="24"/>
          <w:szCs w:val="24"/>
        </w:rPr>
        <w:t>:</w:t>
      </w:r>
    </w:p>
    <w:p w14:paraId="2BC6BCEE" w14:textId="70B5493A" w:rsidR="008F5423" w:rsidRPr="00517388" w:rsidRDefault="008F5423" w:rsidP="00A16D2C">
      <w:pPr>
        <w:ind w:left="567" w:right="566"/>
        <w:jc w:val="both"/>
        <w:rPr>
          <w:rFonts w:ascii="Arial" w:hAnsi="Arial" w:cs="Arial"/>
          <w:sz w:val="24"/>
          <w:szCs w:val="24"/>
        </w:rPr>
      </w:pPr>
      <w:r w:rsidRPr="00517388">
        <w:rPr>
          <w:rFonts w:ascii="Arial" w:hAnsi="Arial" w:cs="Arial"/>
          <w:i/>
          <w:sz w:val="24"/>
          <w:szCs w:val="24"/>
        </w:rPr>
        <w:t xml:space="preserve">De esta manera, los Principios Rectores hacen referencia a la diligencia debida como un medio operativo para que las empresas respeten los derechos humanos, pero no especifican cuáles son las opciones disponibles para que los Estados garanticen la aplicación de estos procesos de diligencia debida por parte de las empresas (De </w:t>
      </w:r>
      <w:r w:rsidRPr="00517388">
        <w:rPr>
          <w:rFonts w:ascii="Arial" w:hAnsi="Arial" w:cs="Arial"/>
          <w:i/>
          <w:sz w:val="24"/>
          <w:szCs w:val="24"/>
        </w:rPr>
        <w:lastRenderedPageBreak/>
        <w:t>Schutter et alt. 2012), ni establecen, como ya remarcamos anteriormente, una obligación jurídicamente vinculante</w:t>
      </w:r>
      <w:r w:rsidR="00FD0352" w:rsidRPr="00517388">
        <w:rPr>
          <w:rFonts w:ascii="Arial" w:hAnsi="Arial" w:cs="Arial"/>
          <w:sz w:val="24"/>
          <w:szCs w:val="24"/>
        </w:rPr>
        <w:t>.</w:t>
      </w:r>
      <w:r w:rsidR="00FD0352" w:rsidRPr="00517388">
        <w:rPr>
          <w:rStyle w:val="Refdenotaalpie"/>
          <w:rFonts w:ascii="Arial" w:hAnsi="Arial" w:cs="Arial"/>
          <w:sz w:val="24"/>
          <w:szCs w:val="24"/>
        </w:rPr>
        <w:footnoteReference w:id="12"/>
      </w:r>
    </w:p>
    <w:p w14:paraId="4406A010" w14:textId="4C9B8441" w:rsidR="00E669D1" w:rsidRPr="00517388" w:rsidRDefault="00E669D1" w:rsidP="00E669D1">
      <w:pPr>
        <w:jc w:val="both"/>
        <w:rPr>
          <w:rFonts w:ascii="Arial" w:hAnsi="Arial" w:cs="Arial"/>
          <w:sz w:val="24"/>
          <w:szCs w:val="24"/>
        </w:rPr>
      </w:pPr>
      <w:r w:rsidRPr="00517388">
        <w:rPr>
          <w:rFonts w:ascii="Arial" w:hAnsi="Arial" w:cs="Arial"/>
          <w:sz w:val="24"/>
          <w:szCs w:val="24"/>
        </w:rPr>
        <w:t xml:space="preserve">En el ámbito de la OCDE, </w:t>
      </w:r>
      <w:r w:rsidR="00FD28F9" w:rsidRPr="00517388">
        <w:rPr>
          <w:rFonts w:ascii="Arial" w:hAnsi="Arial" w:cs="Arial"/>
          <w:sz w:val="24"/>
          <w:szCs w:val="24"/>
        </w:rPr>
        <w:t xml:space="preserve">por su parte, sus </w:t>
      </w:r>
      <w:r w:rsidRPr="00517388">
        <w:rPr>
          <w:rFonts w:ascii="Arial" w:hAnsi="Arial" w:cs="Arial"/>
          <w:sz w:val="24"/>
          <w:szCs w:val="24"/>
        </w:rPr>
        <w:t>Directrices</w:t>
      </w:r>
      <w:r w:rsidR="00FD28F9" w:rsidRPr="00517388">
        <w:rPr>
          <w:rFonts w:ascii="Arial" w:hAnsi="Arial" w:cs="Arial"/>
          <w:sz w:val="24"/>
          <w:szCs w:val="24"/>
        </w:rPr>
        <w:t xml:space="preserve"> para Empresas Multinacionales</w:t>
      </w:r>
      <w:r w:rsidRPr="00517388">
        <w:rPr>
          <w:rFonts w:ascii="Arial" w:hAnsi="Arial" w:cs="Arial"/>
          <w:sz w:val="24"/>
          <w:szCs w:val="24"/>
        </w:rPr>
        <w:t xml:space="preserve"> </w:t>
      </w:r>
      <w:r w:rsidR="00FD28F9" w:rsidRPr="00517388">
        <w:rPr>
          <w:rFonts w:ascii="Arial" w:hAnsi="Arial" w:cs="Arial"/>
          <w:sz w:val="24"/>
          <w:szCs w:val="24"/>
        </w:rPr>
        <w:t>c</w:t>
      </w:r>
      <w:r w:rsidRPr="00517388">
        <w:rPr>
          <w:rFonts w:ascii="Arial" w:hAnsi="Arial" w:cs="Arial"/>
          <w:sz w:val="24"/>
          <w:szCs w:val="24"/>
        </w:rPr>
        <w:t>onc</w:t>
      </w:r>
      <w:r w:rsidR="00FD28F9" w:rsidRPr="00517388">
        <w:rPr>
          <w:rFonts w:ascii="Arial" w:hAnsi="Arial" w:cs="Arial"/>
          <w:sz w:val="24"/>
          <w:szCs w:val="24"/>
        </w:rPr>
        <w:t>iben a</w:t>
      </w:r>
      <w:r w:rsidRPr="00517388">
        <w:rPr>
          <w:rFonts w:ascii="Arial" w:hAnsi="Arial" w:cs="Arial"/>
          <w:sz w:val="24"/>
          <w:szCs w:val="24"/>
        </w:rPr>
        <w:t xml:space="preserve"> la diligencia debida como “</w:t>
      </w:r>
      <w:r w:rsidRPr="00517388">
        <w:rPr>
          <w:rFonts w:ascii="Arial" w:hAnsi="Arial" w:cs="Arial"/>
          <w:i/>
          <w:sz w:val="24"/>
          <w:szCs w:val="24"/>
        </w:rPr>
        <w:t>el proceso a través del cual las empresas identifican, previenen y mitigan los impactos adversos reales y potenciales, y explican cómo se abordan estos impactos”</w:t>
      </w:r>
      <w:r w:rsidRPr="00517388">
        <w:rPr>
          <w:rFonts w:ascii="Arial" w:hAnsi="Arial" w:cs="Arial"/>
          <w:sz w:val="24"/>
          <w:szCs w:val="24"/>
        </w:rPr>
        <w:t xml:space="preserve">. </w:t>
      </w:r>
    </w:p>
    <w:p w14:paraId="75C72F3A" w14:textId="77777777" w:rsidR="00A16D2C" w:rsidRPr="00517388" w:rsidRDefault="00E669D1" w:rsidP="00E669D1">
      <w:pPr>
        <w:jc w:val="both"/>
        <w:rPr>
          <w:rFonts w:ascii="Arial" w:hAnsi="Arial" w:cs="Arial"/>
          <w:sz w:val="24"/>
          <w:szCs w:val="24"/>
        </w:rPr>
      </w:pPr>
      <w:r w:rsidRPr="00517388">
        <w:rPr>
          <w:rFonts w:ascii="Arial" w:hAnsi="Arial" w:cs="Arial"/>
          <w:sz w:val="24"/>
          <w:szCs w:val="24"/>
        </w:rPr>
        <w:t xml:space="preserve">Se ha observado en este caso que estamos ante un </w:t>
      </w:r>
    </w:p>
    <w:p w14:paraId="4D376E90" w14:textId="55FBE8D6" w:rsidR="00E669D1" w:rsidRPr="00517388" w:rsidRDefault="00E669D1" w:rsidP="00A16D2C">
      <w:pPr>
        <w:ind w:left="567" w:right="566"/>
        <w:jc w:val="both"/>
        <w:rPr>
          <w:rFonts w:ascii="Arial" w:hAnsi="Arial" w:cs="Arial"/>
          <w:i/>
          <w:sz w:val="24"/>
          <w:szCs w:val="24"/>
        </w:rPr>
      </w:pPr>
      <w:r w:rsidRPr="00517388">
        <w:rPr>
          <w:rFonts w:ascii="Arial" w:hAnsi="Arial" w:cs="Arial"/>
          <w:i/>
          <w:sz w:val="24"/>
          <w:szCs w:val="24"/>
        </w:rPr>
        <w:t>enfoque basado en riesgos, que abarcan una serie de cuestiones expresamente mencionadas en las Directrices (y cubiertas parcialmente en las Guías de Diligencia de la OCDE) como resulta de la divulgación de información, los derechos humanos, el empleo y las relaciones industriales, el medio ambiente, la lucha contra la corrupción, la solicitud de sobornos y la extorsión, y los intereses del consumidor</w:t>
      </w:r>
      <w:r w:rsidR="00154029">
        <w:rPr>
          <w:rFonts w:ascii="Arial" w:hAnsi="Arial" w:cs="Arial"/>
          <w:i/>
          <w:sz w:val="24"/>
          <w:szCs w:val="24"/>
        </w:rPr>
        <w:t xml:space="preserve"> (…) </w:t>
      </w:r>
      <w:r w:rsidRPr="00517388">
        <w:rPr>
          <w:rFonts w:ascii="Arial" w:hAnsi="Arial" w:cs="Arial"/>
          <w:i/>
          <w:sz w:val="24"/>
          <w:szCs w:val="24"/>
        </w:rPr>
        <w:t>como se explicita en la Guía que hace referencia a la extracción de minerales en zonas de conflicto (OCDE, 2011), la debida diligencia debe imbricarse como una parte integral de los sistemas de gestión y de toma de decisiones”.</w:t>
      </w:r>
      <w:r w:rsidRPr="00517388">
        <w:rPr>
          <w:rStyle w:val="Refdenotaalpie"/>
          <w:rFonts w:ascii="Arial" w:hAnsi="Arial" w:cs="Arial"/>
          <w:i/>
          <w:sz w:val="24"/>
          <w:szCs w:val="24"/>
        </w:rPr>
        <w:footnoteReference w:id="13"/>
      </w:r>
    </w:p>
    <w:p w14:paraId="2BAD7C02" w14:textId="29EDFEDE" w:rsidR="00FD28F9" w:rsidRPr="00517388" w:rsidRDefault="00164AB8" w:rsidP="00FD28F9">
      <w:pPr>
        <w:pStyle w:val="Default"/>
        <w:jc w:val="both"/>
        <w:rPr>
          <w:rFonts w:ascii="Arial" w:hAnsi="Arial" w:cs="Arial"/>
        </w:rPr>
      </w:pPr>
      <w:r w:rsidRPr="00517388">
        <w:rPr>
          <w:rFonts w:ascii="Arial" w:hAnsi="Arial" w:cs="Arial"/>
        </w:rPr>
        <w:t>En e</w:t>
      </w:r>
      <w:r w:rsidR="00FD28F9" w:rsidRPr="00517388">
        <w:rPr>
          <w:rFonts w:ascii="Arial" w:hAnsi="Arial" w:cs="Arial"/>
        </w:rPr>
        <w:t xml:space="preserve">ste </w:t>
      </w:r>
      <w:r w:rsidRPr="00517388">
        <w:rPr>
          <w:rFonts w:ascii="Arial" w:hAnsi="Arial" w:cs="Arial"/>
        </w:rPr>
        <w:t xml:space="preserve">caso de </w:t>
      </w:r>
      <w:r w:rsidR="00FD28F9" w:rsidRPr="00517388">
        <w:rPr>
          <w:rFonts w:ascii="Arial" w:hAnsi="Arial" w:cs="Arial"/>
        </w:rPr>
        <w:t>O</w:t>
      </w:r>
      <w:r w:rsidRPr="00517388">
        <w:rPr>
          <w:rFonts w:ascii="Arial" w:hAnsi="Arial" w:cs="Arial"/>
        </w:rPr>
        <w:t xml:space="preserve">CDE la noción </w:t>
      </w:r>
      <w:r w:rsidR="00FD28F9" w:rsidRPr="00517388">
        <w:rPr>
          <w:rFonts w:ascii="Arial" w:hAnsi="Arial" w:cs="Arial"/>
        </w:rPr>
        <w:t>d</w:t>
      </w:r>
      <w:r w:rsidRPr="00517388">
        <w:rPr>
          <w:rFonts w:ascii="Arial" w:hAnsi="Arial" w:cs="Arial"/>
        </w:rPr>
        <w:t>e debida diligencia emerge tanto del</w:t>
      </w:r>
      <w:r w:rsidR="00FD28F9" w:rsidRPr="00517388">
        <w:rPr>
          <w:rFonts w:ascii="Arial" w:hAnsi="Arial" w:cs="Arial"/>
        </w:rPr>
        <w:t xml:space="preserve"> </w:t>
      </w:r>
      <w:r w:rsidRPr="00517388">
        <w:rPr>
          <w:rFonts w:ascii="Arial" w:hAnsi="Arial" w:cs="Arial"/>
        </w:rPr>
        <w:t>texto principal como de las “guías”, que constituyen recomendaciones, obviamente no vinculantes</w:t>
      </w:r>
      <w:r w:rsidR="00085AC3">
        <w:rPr>
          <w:rFonts w:ascii="Arial" w:hAnsi="Arial" w:cs="Arial"/>
        </w:rPr>
        <w:t xml:space="preserve"> -</w:t>
      </w:r>
      <w:r w:rsidRPr="00517388">
        <w:rPr>
          <w:rFonts w:ascii="Arial" w:hAnsi="Arial" w:cs="Arial"/>
        </w:rPr>
        <w:t xml:space="preserve"> como todo este universo que se está describiendo</w:t>
      </w:r>
      <w:r w:rsidR="00085AC3">
        <w:rPr>
          <w:rFonts w:ascii="Arial" w:hAnsi="Arial" w:cs="Arial"/>
        </w:rPr>
        <w:t xml:space="preserve"> -</w:t>
      </w:r>
      <w:r w:rsidRPr="00517388">
        <w:rPr>
          <w:rFonts w:ascii="Arial" w:hAnsi="Arial" w:cs="Arial"/>
        </w:rPr>
        <w:t xml:space="preserve"> con el objeto que los gobiernos las dirijan a encaminar las conductas responsables de las empresas transnacionales. </w:t>
      </w:r>
    </w:p>
    <w:p w14:paraId="44DFC6E7" w14:textId="77777777" w:rsidR="00FD28F9" w:rsidRPr="00517388" w:rsidRDefault="00FD28F9" w:rsidP="00FD28F9">
      <w:pPr>
        <w:pStyle w:val="Default"/>
        <w:jc w:val="both"/>
        <w:rPr>
          <w:rFonts w:ascii="Arial" w:hAnsi="Arial" w:cs="Arial"/>
        </w:rPr>
      </w:pPr>
    </w:p>
    <w:p w14:paraId="6F7FC0CD" w14:textId="716712BE" w:rsidR="002C7508" w:rsidRPr="00517388" w:rsidRDefault="00FD28F9" w:rsidP="00FD28F9">
      <w:pPr>
        <w:pStyle w:val="Default"/>
        <w:jc w:val="both"/>
        <w:rPr>
          <w:rFonts w:ascii="Arial" w:hAnsi="Arial" w:cs="Arial"/>
        </w:rPr>
      </w:pPr>
      <w:r w:rsidRPr="00517388">
        <w:rPr>
          <w:rFonts w:ascii="Arial" w:hAnsi="Arial" w:cs="Arial"/>
        </w:rPr>
        <w:t>Como cuestión incidental, no conviene soslayar que una de las “</w:t>
      </w:r>
      <w:r w:rsidR="00164AB8" w:rsidRPr="00517388">
        <w:rPr>
          <w:rFonts w:ascii="Arial" w:hAnsi="Arial" w:cs="Arial"/>
        </w:rPr>
        <w:t>guías</w:t>
      </w:r>
      <w:r w:rsidRPr="00517388">
        <w:rPr>
          <w:rFonts w:ascii="Arial" w:hAnsi="Arial" w:cs="Arial"/>
        </w:rPr>
        <w:t>”</w:t>
      </w:r>
      <w:r w:rsidR="00164AB8" w:rsidRPr="00517388">
        <w:rPr>
          <w:rFonts w:ascii="Arial" w:hAnsi="Arial" w:cs="Arial"/>
        </w:rPr>
        <w:t xml:space="preserve"> </w:t>
      </w:r>
      <w:r w:rsidRPr="00517388">
        <w:rPr>
          <w:rFonts w:ascii="Arial" w:hAnsi="Arial" w:cs="Arial"/>
        </w:rPr>
        <w:t xml:space="preserve">contiene </w:t>
      </w:r>
      <w:r w:rsidR="00164AB8" w:rsidRPr="00517388">
        <w:rPr>
          <w:rFonts w:ascii="Arial" w:hAnsi="Arial" w:cs="Arial"/>
        </w:rPr>
        <w:t xml:space="preserve">una interesante definición de “cadenas de suministro”, la forma más recurrida de organizar la producción de bienes y servicios por las empresas transnacionales, de gran importancia para nuestro tema en tanto hace a la posibilidad de extensión </w:t>
      </w:r>
      <w:r w:rsidR="002C7508" w:rsidRPr="00517388">
        <w:rPr>
          <w:rFonts w:ascii="Arial" w:hAnsi="Arial" w:cs="Arial"/>
        </w:rPr>
        <w:t>de la responsabilidad hacia</w:t>
      </w:r>
      <w:r w:rsidR="00164AB8" w:rsidRPr="00517388">
        <w:rPr>
          <w:rFonts w:ascii="Arial" w:hAnsi="Arial" w:cs="Arial"/>
        </w:rPr>
        <w:t xml:space="preserve"> empresas que integren los eslabones inferiores. </w:t>
      </w:r>
    </w:p>
    <w:p w14:paraId="122D04C5" w14:textId="77777777" w:rsidR="002C7508" w:rsidRPr="00517388" w:rsidRDefault="002C7508" w:rsidP="00FD28F9">
      <w:pPr>
        <w:pStyle w:val="Default"/>
        <w:jc w:val="both"/>
        <w:rPr>
          <w:rFonts w:ascii="Arial" w:hAnsi="Arial" w:cs="Arial"/>
        </w:rPr>
      </w:pPr>
    </w:p>
    <w:p w14:paraId="0EDC3981" w14:textId="13147083" w:rsidR="00FD28F9" w:rsidRPr="00517388" w:rsidRDefault="00164AB8" w:rsidP="00FD28F9">
      <w:pPr>
        <w:pStyle w:val="Default"/>
        <w:jc w:val="both"/>
        <w:rPr>
          <w:rFonts w:ascii="Arial" w:hAnsi="Arial" w:cs="Arial"/>
          <w:i/>
        </w:rPr>
      </w:pPr>
      <w:r w:rsidRPr="00517388">
        <w:rPr>
          <w:rFonts w:ascii="Arial" w:hAnsi="Arial" w:cs="Arial"/>
        </w:rPr>
        <w:t xml:space="preserve">Nos referimos a la </w:t>
      </w:r>
      <w:r w:rsidR="008F5423" w:rsidRPr="00517388">
        <w:rPr>
          <w:rFonts w:ascii="Arial" w:hAnsi="Arial" w:cs="Arial"/>
        </w:rPr>
        <w:t>“Guía de Debida Diligencia de la OCDE para Cadenas de Suministro Responsables de Minerales en las Áreas</w:t>
      </w:r>
      <w:r w:rsidRPr="00517388">
        <w:rPr>
          <w:rFonts w:ascii="Arial" w:hAnsi="Arial" w:cs="Arial"/>
        </w:rPr>
        <w:t xml:space="preserve"> de Conflicto o de Alto Riesgo”, que entiende por cadena de suministro el </w:t>
      </w:r>
      <w:r w:rsidRPr="00517388">
        <w:rPr>
          <w:rFonts w:ascii="Arial" w:hAnsi="Arial" w:cs="Arial"/>
          <w:i/>
        </w:rPr>
        <w:t>“</w:t>
      </w:r>
      <w:r w:rsidR="008F5423" w:rsidRPr="00517388">
        <w:rPr>
          <w:rFonts w:ascii="Arial" w:hAnsi="Arial" w:cs="Arial"/>
          <w:i/>
        </w:rPr>
        <w:t>sistema de todas las actividades, organizaciones, actores, tecnologías, información, recursos y servicios involucrados en llevar el oro desde su fuente al consumidor final”. Además, el texto diferencia entre dos tipos, la llamada “cadena de suministro ascendente y descendente</w:t>
      </w:r>
      <w:r w:rsidRPr="00517388">
        <w:rPr>
          <w:rFonts w:ascii="Arial" w:hAnsi="Arial" w:cs="Arial"/>
          <w:i/>
        </w:rPr>
        <w:t>.</w:t>
      </w:r>
      <w:r w:rsidR="008F5423" w:rsidRPr="00517388">
        <w:rPr>
          <w:rFonts w:ascii="Arial" w:hAnsi="Arial" w:cs="Arial"/>
          <w:i/>
        </w:rPr>
        <w:t>”</w:t>
      </w:r>
    </w:p>
    <w:p w14:paraId="0004379C" w14:textId="77777777" w:rsidR="00FD28F9" w:rsidRPr="00517388" w:rsidRDefault="00FD28F9" w:rsidP="00FD28F9">
      <w:pPr>
        <w:pStyle w:val="Default"/>
        <w:jc w:val="both"/>
        <w:rPr>
          <w:rFonts w:ascii="Arial" w:hAnsi="Arial" w:cs="Arial"/>
          <w:i/>
        </w:rPr>
      </w:pPr>
    </w:p>
    <w:p w14:paraId="7E6F0A64" w14:textId="77777777" w:rsidR="00FD28F9" w:rsidRPr="00517388" w:rsidRDefault="002144A2" w:rsidP="00FD28F9">
      <w:pPr>
        <w:pStyle w:val="Default"/>
        <w:jc w:val="both"/>
        <w:rPr>
          <w:rFonts w:ascii="Arial" w:hAnsi="Arial" w:cs="Arial"/>
        </w:rPr>
      </w:pPr>
      <w:r w:rsidRPr="00517388">
        <w:rPr>
          <w:rFonts w:ascii="Arial" w:hAnsi="Arial" w:cs="Arial"/>
        </w:rPr>
        <w:t>De manera más general</w:t>
      </w:r>
      <w:r w:rsidR="002977BC" w:rsidRPr="00517388">
        <w:rPr>
          <w:rFonts w:ascii="Arial" w:hAnsi="Arial" w:cs="Arial"/>
        </w:rPr>
        <w:t>,</w:t>
      </w:r>
      <w:r w:rsidRPr="00517388">
        <w:rPr>
          <w:rFonts w:ascii="Arial" w:hAnsi="Arial" w:cs="Arial"/>
        </w:rPr>
        <w:t xml:space="preserve"> </w:t>
      </w:r>
      <w:r w:rsidR="00164AB8" w:rsidRPr="00517388">
        <w:rPr>
          <w:rFonts w:ascii="Arial" w:hAnsi="Arial" w:cs="Arial"/>
        </w:rPr>
        <w:t>Guamán</w:t>
      </w:r>
      <w:r w:rsidRPr="00517388">
        <w:rPr>
          <w:rStyle w:val="Refdenotaalpie"/>
          <w:rFonts w:ascii="Arial" w:hAnsi="Arial" w:cs="Arial"/>
        </w:rPr>
        <w:footnoteReference w:id="14"/>
      </w:r>
      <w:r w:rsidR="00164AB8" w:rsidRPr="00517388">
        <w:rPr>
          <w:rFonts w:ascii="Arial" w:hAnsi="Arial" w:cs="Arial"/>
        </w:rPr>
        <w:t xml:space="preserve"> </w:t>
      </w:r>
      <w:r w:rsidRPr="00517388">
        <w:rPr>
          <w:rFonts w:ascii="Arial" w:hAnsi="Arial" w:cs="Arial"/>
        </w:rPr>
        <w:t>señala que</w:t>
      </w:r>
      <w:r w:rsidR="00FD28F9" w:rsidRPr="00517388">
        <w:rPr>
          <w:rFonts w:ascii="Arial" w:hAnsi="Arial" w:cs="Arial"/>
        </w:rPr>
        <w:t xml:space="preserve"> </w:t>
      </w:r>
    </w:p>
    <w:p w14:paraId="4E423BD0" w14:textId="77777777" w:rsidR="00FD28F9" w:rsidRPr="00517388" w:rsidRDefault="00FD28F9" w:rsidP="00FD28F9">
      <w:pPr>
        <w:pStyle w:val="Default"/>
        <w:jc w:val="both"/>
        <w:rPr>
          <w:rFonts w:ascii="Arial" w:hAnsi="Arial" w:cs="Arial"/>
        </w:rPr>
      </w:pPr>
    </w:p>
    <w:p w14:paraId="50A27BF0" w14:textId="04EE8A74" w:rsidR="008F5423" w:rsidRPr="00517388" w:rsidRDefault="008F5423" w:rsidP="00FD28F9">
      <w:pPr>
        <w:pStyle w:val="Default"/>
        <w:ind w:left="567" w:right="424"/>
        <w:jc w:val="both"/>
        <w:rPr>
          <w:rFonts w:ascii="Arial" w:hAnsi="Arial" w:cs="Arial"/>
          <w:i/>
        </w:rPr>
      </w:pPr>
      <w:r w:rsidRPr="00517388">
        <w:rPr>
          <w:rFonts w:ascii="Arial" w:hAnsi="Arial" w:cs="Arial"/>
        </w:rPr>
        <w:lastRenderedPageBreak/>
        <w:t xml:space="preserve">siguiendo el análisis comparado realizado por De Schutter et alt (2012), </w:t>
      </w:r>
      <w:r w:rsidRPr="00517388">
        <w:rPr>
          <w:rFonts w:ascii="Arial" w:hAnsi="Arial" w:cs="Arial"/>
          <w:i/>
        </w:rPr>
        <w:t xml:space="preserve">es posible afirmar que existen numerosos ejemplos de incorporación de las obligaciones de diligencia debida respecto de los derechos humanos y distintas vías para acometer la misma. Es posible, por un lado, que los Estados exijan a las empresas que lleven a cabo procesos de diligencia debida, ya sea directamente mediante una ley, o indirectamente al ofrecer a las empresas la oportunidad de utilizar la diligencia debida como defensa contra las acusaciones de violaciones penales, civiles o administrativas. En segundo lugar, también es posible adoptar normas, siempre en el plano estatal, que proporcionen incentivos y beneficios a las empresas, a cambio de que puedan demostrar el ejercicio de la diligencia debida. En tercer lugar los Estados fomentan la aplicación de la diligencia a través de mecanismos de transparencia y divulgación de la información y por último, existen evidentemente normas que aplican una combinación de los enfoques señalados. </w:t>
      </w:r>
    </w:p>
    <w:p w14:paraId="12A3C3E6" w14:textId="77777777" w:rsidR="00FD28F9" w:rsidRPr="00517388" w:rsidRDefault="00FD28F9" w:rsidP="00FD28F9">
      <w:pPr>
        <w:pStyle w:val="Default"/>
        <w:ind w:left="567" w:right="424"/>
        <w:jc w:val="both"/>
        <w:rPr>
          <w:rFonts w:ascii="Arial" w:hAnsi="Arial" w:cs="Arial"/>
        </w:rPr>
      </w:pPr>
    </w:p>
    <w:p w14:paraId="4AA513D8" w14:textId="7CD7DAC2" w:rsidR="00B626B0" w:rsidRPr="00517388" w:rsidRDefault="002C7508" w:rsidP="00B626B0">
      <w:pPr>
        <w:jc w:val="both"/>
        <w:rPr>
          <w:rFonts w:ascii="Arial" w:hAnsi="Arial" w:cs="Arial"/>
          <w:sz w:val="24"/>
          <w:szCs w:val="24"/>
        </w:rPr>
      </w:pPr>
      <w:r w:rsidRPr="00517388">
        <w:rPr>
          <w:rFonts w:ascii="Arial" w:hAnsi="Arial" w:cs="Arial"/>
          <w:sz w:val="24"/>
          <w:szCs w:val="24"/>
        </w:rPr>
        <w:t xml:space="preserve">Las </w:t>
      </w:r>
      <w:r w:rsidR="00B626B0" w:rsidRPr="00517388">
        <w:rPr>
          <w:rFonts w:ascii="Arial" w:hAnsi="Arial" w:cs="Arial"/>
          <w:sz w:val="24"/>
          <w:szCs w:val="24"/>
        </w:rPr>
        <w:t>Líneas Directrices</w:t>
      </w:r>
      <w:r w:rsidRPr="00517388">
        <w:rPr>
          <w:rFonts w:ascii="Arial" w:hAnsi="Arial" w:cs="Arial"/>
          <w:sz w:val="24"/>
          <w:szCs w:val="24"/>
        </w:rPr>
        <w:t xml:space="preserve"> recogen la locución “debida d</w:t>
      </w:r>
      <w:r w:rsidR="00B626B0" w:rsidRPr="00517388">
        <w:rPr>
          <w:rFonts w:ascii="Arial" w:hAnsi="Arial" w:cs="Arial"/>
          <w:sz w:val="24"/>
          <w:szCs w:val="24"/>
        </w:rPr>
        <w:t>iligencia” para</w:t>
      </w:r>
      <w:r w:rsidRPr="00517388">
        <w:rPr>
          <w:rFonts w:ascii="Arial" w:hAnsi="Arial" w:cs="Arial"/>
          <w:sz w:val="24"/>
          <w:szCs w:val="24"/>
        </w:rPr>
        <w:t xml:space="preserve"> vincularla </w:t>
      </w:r>
      <w:r w:rsidR="00B626B0" w:rsidRPr="00517388">
        <w:rPr>
          <w:rFonts w:ascii="Arial" w:hAnsi="Arial" w:cs="Arial"/>
          <w:sz w:val="24"/>
          <w:szCs w:val="24"/>
        </w:rPr>
        <w:t xml:space="preserve">al alcance de las obligaciones de las empresas, </w:t>
      </w:r>
      <w:r w:rsidRPr="00517388">
        <w:rPr>
          <w:rFonts w:ascii="Arial" w:hAnsi="Arial" w:cs="Arial"/>
          <w:sz w:val="24"/>
          <w:szCs w:val="24"/>
        </w:rPr>
        <w:t xml:space="preserve">dichas en el tono de </w:t>
      </w:r>
      <w:r w:rsidR="00B626B0" w:rsidRPr="00517388">
        <w:rPr>
          <w:rFonts w:ascii="Arial" w:hAnsi="Arial" w:cs="Arial"/>
          <w:sz w:val="24"/>
          <w:szCs w:val="24"/>
        </w:rPr>
        <w:t>“recomendaciones dirigidas por los gobiernos a las empresas multinacionales” (Prólogo, núm. 1; Conceptos y Principios, núm. 1).</w:t>
      </w:r>
    </w:p>
    <w:p w14:paraId="39F71E7C" w14:textId="77777777" w:rsidR="00B626B0" w:rsidRPr="00517388" w:rsidRDefault="00B626B0" w:rsidP="00B626B0">
      <w:pPr>
        <w:jc w:val="both"/>
        <w:rPr>
          <w:rFonts w:ascii="Arial" w:hAnsi="Arial" w:cs="Arial"/>
          <w:sz w:val="24"/>
          <w:szCs w:val="24"/>
        </w:rPr>
      </w:pPr>
      <w:r w:rsidRPr="00517388">
        <w:rPr>
          <w:rFonts w:ascii="Arial" w:hAnsi="Arial" w:cs="Arial"/>
          <w:sz w:val="24"/>
          <w:szCs w:val="24"/>
        </w:rPr>
        <w:t xml:space="preserve">En concreto, establecen en su cap. II “Principios Generales” lit. A núm 10: </w:t>
      </w:r>
    </w:p>
    <w:p w14:paraId="58594CCB" w14:textId="77777777" w:rsidR="00B626B0" w:rsidRPr="00517388" w:rsidRDefault="00B626B0" w:rsidP="002C7508">
      <w:pPr>
        <w:autoSpaceDE w:val="0"/>
        <w:autoSpaceDN w:val="0"/>
        <w:adjustRightInd w:val="0"/>
        <w:spacing w:after="0" w:line="240" w:lineRule="auto"/>
        <w:ind w:left="567" w:right="707"/>
        <w:rPr>
          <w:rFonts w:ascii="Arial" w:hAnsi="Arial" w:cs="Arial"/>
          <w:i/>
          <w:sz w:val="24"/>
          <w:szCs w:val="24"/>
        </w:rPr>
      </w:pPr>
      <w:r w:rsidRPr="00517388">
        <w:rPr>
          <w:rFonts w:ascii="Arial" w:hAnsi="Arial" w:cs="Arial"/>
          <w:i/>
          <w:sz w:val="24"/>
          <w:szCs w:val="24"/>
        </w:rPr>
        <w:t>las empresas deberán:</w:t>
      </w:r>
    </w:p>
    <w:p w14:paraId="7FF04460" w14:textId="77777777" w:rsidR="002C7508" w:rsidRPr="00517388" w:rsidRDefault="002C7508" w:rsidP="002C7508">
      <w:pPr>
        <w:autoSpaceDE w:val="0"/>
        <w:autoSpaceDN w:val="0"/>
        <w:adjustRightInd w:val="0"/>
        <w:spacing w:after="0" w:line="240" w:lineRule="auto"/>
        <w:ind w:left="567" w:right="707"/>
        <w:jc w:val="both"/>
        <w:rPr>
          <w:rFonts w:ascii="Arial" w:hAnsi="Arial" w:cs="Arial"/>
          <w:i/>
          <w:sz w:val="24"/>
          <w:szCs w:val="24"/>
        </w:rPr>
      </w:pPr>
    </w:p>
    <w:p w14:paraId="74E3E81A" w14:textId="77777777" w:rsidR="00B626B0" w:rsidRPr="00517388" w:rsidRDefault="00B626B0" w:rsidP="002C7508">
      <w:pPr>
        <w:autoSpaceDE w:val="0"/>
        <w:autoSpaceDN w:val="0"/>
        <w:adjustRightInd w:val="0"/>
        <w:spacing w:after="0" w:line="240" w:lineRule="auto"/>
        <w:ind w:left="567" w:right="707"/>
        <w:jc w:val="both"/>
        <w:rPr>
          <w:rFonts w:ascii="Arial" w:hAnsi="Arial" w:cs="Arial"/>
          <w:i/>
          <w:sz w:val="24"/>
          <w:szCs w:val="24"/>
        </w:rPr>
      </w:pPr>
      <w:r w:rsidRPr="00517388">
        <w:rPr>
          <w:rFonts w:ascii="Arial" w:hAnsi="Arial" w:cs="Arial"/>
          <w:i/>
          <w:sz w:val="24"/>
          <w:szCs w:val="24"/>
        </w:rPr>
        <w:t>(…)</w:t>
      </w:r>
    </w:p>
    <w:p w14:paraId="664C1DE9" w14:textId="77777777" w:rsidR="00B626B0" w:rsidRPr="00517388" w:rsidRDefault="00B626B0" w:rsidP="002C7508">
      <w:pPr>
        <w:autoSpaceDE w:val="0"/>
        <w:autoSpaceDN w:val="0"/>
        <w:adjustRightInd w:val="0"/>
        <w:spacing w:after="0" w:line="240" w:lineRule="auto"/>
        <w:ind w:left="567" w:right="707"/>
        <w:jc w:val="both"/>
        <w:rPr>
          <w:rFonts w:ascii="Arial" w:hAnsi="Arial" w:cs="Arial"/>
          <w:i/>
          <w:sz w:val="24"/>
          <w:szCs w:val="24"/>
        </w:rPr>
      </w:pPr>
      <w:r w:rsidRPr="00517388">
        <w:rPr>
          <w:rFonts w:ascii="Arial" w:hAnsi="Arial" w:cs="Arial"/>
          <w:i/>
          <w:sz w:val="24"/>
          <w:szCs w:val="24"/>
        </w:rPr>
        <w:t>10. Emplear la diligencia debida fundada en los riesgos incorporándola, por ejemplo, a sus sistemas de gestión de riesgos con el fin de identificar, prevenir o atenuar los efectos negativos, reales o potenciales que se describe en los apartados 11 y 12</w:t>
      </w:r>
      <w:r w:rsidRPr="00517388">
        <w:rPr>
          <w:rStyle w:val="Refdenotaalpie"/>
          <w:rFonts w:ascii="Arial" w:hAnsi="Arial" w:cs="Arial"/>
          <w:i/>
          <w:sz w:val="24"/>
          <w:szCs w:val="24"/>
        </w:rPr>
        <w:footnoteReference w:id="15"/>
      </w:r>
      <w:r w:rsidRPr="00517388">
        <w:rPr>
          <w:rFonts w:ascii="Arial" w:hAnsi="Arial" w:cs="Arial"/>
          <w:i/>
          <w:sz w:val="24"/>
          <w:szCs w:val="24"/>
        </w:rPr>
        <w:t xml:space="preserve"> e informar sobre cómo se reacciona ante dichos efectos negativos. La naturaleza y el alcance de la diligencia debida dependen de las circunstancias en cada situación.</w:t>
      </w:r>
    </w:p>
    <w:p w14:paraId="11246637" w14:textId="77777777" w:rsidR="00B626B0" w:rsidRPr="00517388" w:rsidRDefault="00B626B0" w:rsidP="002C7508">
      <w:pPr>
        <w:autoSpaceDE w:val="0"/>
        <w:autoSpaceDN w:val="0"/>
        <w:adjustRightInd w:val="0"/>
        <w:spacing w:after="0" w:line="240" w:lineRule="auto"/>
        <w:ind w:left="567" w:right="707"/>
        <w:jc w:val="both"/>
        <w:rPr>
          <w:rFonts w:ascii="Arial" w:hAnsi="Arial" w:cs="Arial"/>
          <w:i/>
          <w:sz w:val="24"/>
          <w:szCs w:val="24"/>
        </w:rPr>
      </w:pPr>
    </w:p>
    <w:p w14:paraId="7AD26F26" w14:textId="77777777" w:rsidR="00B626B0" w:rsidRPr="00517388" w:rsidRDefault="00B626B0" w:rsidP="00B626B0">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En el cap. IV “Derechos Humanos” se reconoce que</w:t>
      </w:r>
      <w:r w:rsidRPr="00517388">
        <w:rPr>
          <w:rFonts w:ascii="Arial" w:hAnsi="Arial" w:cs="Arial"/>
          <w:i/>
          <w:sz w:val="24"/>
          <w:szCs w:val="24"/>
        </w:rPr>
        <w:t xml:space="preserve"> “Los Estados tienen el deber de proteger los derechos humanos”</w:t>
      </w:r>
      <w:r w:rsidRPr="00517388">
        <w:rPr>
          <w:rFonts w:ascii="Arial" w:hAnsi="Arial" w:cs="Arial"/>
          <w:sz w:val="24"/>
          <w:szCs w:val="24"/>
        </w:rPr>
        <w:t xml:space="preserve"> y que “</w:t>
      </w:r>
      <w:r w:rsidRPr="00517388">
        <w:rPr>
          <w:rFonts w:ascii="Arial" w:hAnsi="Arial" w:cs="Arial"/>
          <w:i/>
          <w:sz w:val="24"/>
          <w:szCs w:val="24"/>
        </w:rPr>
        <w:t>las empresas deberían”:</w:t>
      </w:r>
    </w:p>
    <w:p w14:paraId="75FF01EF" w14:textId="77777777" w:rsidR="00B626B0" w:rsidRPr="00517388" w:rsidRDefault="00B626B0" w:rsidP="00B626B0">
      <w:pPr>
        <w:autoSpaceDE w:val="0"/>
        <w:autoSpaceDN w:val="0"/>
        <w:adjustRightInd w:val="0"/>
        <w:spacing w:after="0" w:line="240" w:lineRule="auto"/>
        <w:jc w:val="both"/>
        <w:rPr>
          <w:rFonts w:ascii="Arial" w:hAnsi="Arial" w:cs="Arial"/>
          <w:sz w:val="24"/>
          <w:szCs w:val="24"/>
        </w:rPr>
      </w:pPr>
    </w:p>
    <w:p w14:paraId="52FA14DA" w14:textId="420B4678" w:rsidR="00B626B0" w:rsidRPr="00517388" w:rsidRDefault="00B626B0" w:rsidP="002C7508">
      <w:pPr>
        <w:autoSpaceDE w:val="0"/>
        <w:autoSpaceDN w:val="0"/>
        <w:adjustRightInd w:val="0"/>
        <w:spacing w:after="0" w:line="240" w:lineRule="auto"/>
        <w:ind w:left="567" w:right="566"/>
        <w:jc w:val="both"/>
        <w:rPr>
          <w:rFonts w:ascii="Arial" w:hAnsi="Arial" w:cs="Arial"/>
          <w:i/>
          <w:sz w:val="24"/>
          <w:szCs w:val="24"/>
        </w:rPr>
      </w:pPr>
      <w:r w:rsidRPr="00517388">
        <w:rPr>
          <w:rFonts w:ascii="Arial" w:hAnsi="Arial" w:cs="Arial"/>
          <w:i/>
          <w:sz w:val="24"/>
          <w:szCs w:val="24"/>
        </w:rPr>
        <w:t xml:space="preserve">Emplear la diligencia debida en materia de derechos humanos en función de su tamaño, de la naturaleza y el contexto de sus </w:t>
      </w:r>
      <w:r w:rsidRPr="00517388">
        <w:rPr>
          <w:rFonts w:ascii="Arial" w:hAnsi="Arial" w:cs="Arial"/>
          <w:i/>
          <w:sz w:val="24"/>
          <w:szCs w:val="24"/>
        </w:rPr>
        <w:lastRenderedPageBreak/>
        <w:t>actividades y de la gravedad de los riesgos de incidencias negativas sobre dichos derechos” (núm. 5)</w:t>
      </w:r>
    </w:p>
    <w:p w14:paraId="5EFEBFBE" w14:textId="77777777" w:rsidR="00B626B0" w:rsidRPr="00517388" w:rsidRDefault="00B626B0" w:rsidP="002C7508">
      <w:pPr>
        <w:autoSpaceDE w:val="0"/>
        <w:autoSpaceDN w:val="0"/>
        <w:adjustRightInd w:val="0"/>
        <w:spacing w:after="0" w:line="240" w:lineRule="auto"/>
        <w:ind w:left="567" w:right="566"/>
        <w:jc w:val="both"/>
        <w:rPr>
          <w:rFonts w:ascii="Arial" w:hAnsi="Arial" w:cs="Arial"/>
          <w:sz w:val="24"/>
          <w:szCs w:val="24"/>
        </w:rPr>
      </w:pPr>
    </w:p>
    <w:p w14:paraId="6E0EBFFA" w14:textId="77777777" w:rsidR="00B626B0" w:rsidRPr="00517388" w:rsidRDefault="00B626B0" w:rsidP="00B626B0">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En cuanto a las “incidencias negativas” que pudiera presentar la actividad empresarial, las Directrices establecen el deber de </w:t>
      </w:r>
    </w:p>
    <w:p w14:paraId="46E7BF7F" w14:textId="77777777" w:rsidR="00B626B0" w:rsidRPr="00517388" w:rsidRDefault="00B626B0" w:rsidP="00B626B0">
      <w:pPr>
        <w:autoSpaceDE w:val="0"/>
        <w:autoSpaceDN w:val="0"/>
        <w:adjustRightInd w:val="0"/>
        <w:spacing w:after="0" w:line="240" w:lineRule="auto"/>
        <w:jc w:val="both"/>
        <w:rPr>
          <w:rFonts w:ascii="Arial" w:hAnsi="Arial" w:cs="Arial"/>
          <w:sz w:val="24"/>
          <w:szCs w:val="24"/>
        </w:rPr>
      </w:pPr>
    </w:p>
    <w:p w14:paraId="43AA57B5" w14:textId="5C0DD400" w:rsidR="00B626B0" w:rsidRPr="00517388" w:rsidRDefault="00B626B0" w:rsidP="002C7508">
      <w:pPr>
        <w:autoSpaceDE w:val="0"/>
        <w:autoSpaceDN w:val="0"/>
        <w:adjustRightInd w:val="0"/>
        <w:spacing w:after="0" w:line="240" w:lineRule="auto"/>
        <w:ind w:left="567" w:right="566"/>
        <w:jc w:val="both"/>
        <w:rPr>
          <w:rFonts w:ascii="Arial" w:hAnsi="Arial" w:cs="Arial"/>
          <w:i/>
          <w:sz w:val="24"/>
          <w:szCs w:val="24"/>
        </w:rPr>
      </w:pPr>
      <w:r w:rsidRPr="00517388">
        <w:rPr>
          <w:rFonts w:ascii="Arial" w:hAnsi="Arial" w:cs="Arial"/>
          <w:i/>
          <w:sz w:val="24"/>
          <w:szCs w:val="24"/>
        </w:rPr>
        <w:t>evitar causar incidencias negativas sobre los derechos humanos o contribuir a que se generen y paliar dichas incidencias si las hubiera” (Cap. IV. núm. 2)</w:t>
      </w:r>
    </w:p>
    <w:p w14:paraId="78F8373F" w14:textId="77777777" w:rsidR="00B626B0" w:rsidRPr="005722A8" w:rsidRDefault="00B626B0" w:rsidP="005722A8">
      <w:pPr>
        <w:autoSpaceDE w:val="0"/>
        <w:autoSpaceDN w:val="0"/>
        <w:adjustRightInd w:val="0"/>
        <w:spacing w:after="0" w:line="240" w:lineRule="auto"/>
        <w:ind w:left="360"/>
        <w:jc w:val="both"/>
        <w:rPr>
          <w:rFonts w:ascii="Arial" w:hAnsi="Arial" w:cs="Arial"/>
          <w:b/>
          <w:sz w:val="24"/>
          <w:szCs w:val="24"/>
        </w:rPr>
      </w:pPr>
    </w:p>
    <w:p w14:paraId="656C66EB" w14:textId="77777777" w:rsidR="00B626B0" w:rsidRPr="005722A8" w:rsidRDefault="00B626B0" w:rsidP="005722A8">
      <w:pPr>
        <w:autoSpaceDE w:val="0"/>
        <w:autoSpaceDN w:val="0"/>
        <w:adjustRightInd w:val="0"/>
        <w:spacing w:after="0" w:line="240" w:lineRule="auto"/>
        <w:jc w:val="both"/>
        <w:rPr>
          <w:rFonts w:ascii="Arial" w:hAnsi="Arial" w:cs="Arial"/>
          <w:sz w:val="24"/>
          <w:szCs w:val="24"/>
        </w:rPr>
      </w:pPr>
      <w:r w:rsidRPr="005722A8">
        <w:rPr>
          <w:rFonts w:ascii="Arial" w:hAnsi="Arial" w:cs="Arial"/>
          <w:sz w:val="24"/>
          <w:szCs w:val="24"/>
        </w:rPr>
        <w:t>En síntesis, las Líneas Directrices establecen:</w:t>
      </w:r>
    </w:p>
    <w:p w14:paraId="0AB5291B" w14:textId="77777777" w:rsidR="00B626B0" w:rsidRPr="005722A8" w:rsidRDefault="00B626B0" w:rsidP="005722A8">
      <w:pPr>
        <w:autoSpaceDE w:val="0"/>
        <w:autoSpaceDN w:val="0"/>
        <w:adjustRightInd w:val="0"/>
        <w:spacing w:after="0" w:line="240" w:lineRule="auto"/>
        <w:ind w:left="360"/>
        <w:jc w:val="both"/>
        <w:rPr>
          <w:rFonts w:ascii="Arial" w:hAnsi="Arial" w:cs="Arial"/>
          <w:sz w:val="24"/>
          <w:szCs w:val="24"/>
        </w:rPr>
      </w:pPr>
    </w:p>
    <w:p w14:paraId="62F69B37" w14:textId="77777777" w:rsidR="00B626B0" w:rsidRPr="005722A8" w:rsidRDefault="00B626B0" w:rsidP="005722A8">
      <w:pPr>
        <w:pStyle w:val="Prrafodelista"/>
        <w:numPr>
          <w:ilvl w:val="0"/>
          <w:numId w:val="8"/>
        </w:numPr>
        <w:autoSpaceDE w:val="0"/>
        <w:autoSpaceDN w:val="0"/>
        <w:adjustRightInd w:val="0"/>
        <w:spacing w:after="0" w:line="240" w:lineRule="auto"/>
        <w:jc w:val="both"/>
        <w:rPr>
          <w:rFonts w:ascii="Arial" w:hAnsi="Arial" w:cs="Arial"/>
          <w:sz w:val="24"/>
          <w:szCs w:val="24"/>
          <w:lang w:val="es-UY"/>
        </w:rPr>
      </w:pPr>
      <w:r w:rsidRPr="005722A8">
        <w:rPr>
          <w:rFonts w:ascii="Arial" w:hAnsi="Arial" w:cs="Arial"/>
          <w:sz w:val="24"/>
          <w:szCs w:val="24"/>
          <w:lang w:val="es-UY"/>
        </w:rPr>
        <w:t>Que las EMN deben emplear la debida diligencia en el respeto por los derechos humanos;</w:t>
      </w:r>
    </w:p>
    <w:p w14:paraId="29AD85D7" w14:textId="77777777" w:rsidR="00B626B0" w:rsidRPr="005722A8" w:rsidRDefault="00B626B0" w:rsidP="005722A8">
      <w:pPr>
        <w:pStyle w:val="Prrafodelista"/>
        <w:numPr>
          <w:ilvl w:val="0"/>
          <w:numId w:val="8"/>
        </w:numPr>
        <w:autoSpaceDE w:val="0"/>
        <w:autoSpaceDN w:val="0"/>
        <w:adjustRightInd w:val="0"/>
        <w:spacing w:after="0" w:line="240" w:lineRule="auto"/>
        <w:jc w:val="both"/>
        <w:rPr>
          <w:rFonts w:ascii="Arial" w:hAnsi="Arial" w:cs="Arial"/>
          <w:sz w:val="24"/>
          <w:szCs w:val="24"/>
          <w:lang w:val="es-UY"/>
        </w:rPr>
      </w:pPr>
      <w:r w:rsidRPr="005722A8">
        <w:rPr>
          <w:rFonts w:ascii="Arial" w:hAnsi="Arial" w:cs="Arial"/>
          <w:sz w:val="24"/>
          <w:szCs w:val="24"/>
          <w:lang w:val="es-UY"/>
        </w:rPr>
        <w:t>Que esa debida diligencia se descompone en los deberes de identificar, prevenir o atenuar los efectos negativos de su actividad (cap. II, A,  núm.10);</w:t>
      </w:r>
    </w:p>
    <w:p w14:paraId="00F4626D" w14:textId="77777777" w:rsidR="00B626B0" w:rsidRPr="005722A8" w:rsidRDefault="00B626B0" w:rsidP="005722A8">
      <w:pPr>
        <w:pStyle w:val="Prrafodelista"/>
        <w:numPr>
          <w:ilvl w:val="0"/>
          <w:numId w:val="8"/>
        </w:numPr>
        <w:autoSpaceDE w:val="0"/>
        <w:autoSpaceDN w:val="0"/>
        <w:adjustRightInd w:val="0"/>
        <w:spacing w:after="0" w:line="240" w:lineRule="auto"/>
        <w:jc w:val="both"/>
        <w:rPr>
          <w:rFonts w:ascii="Arial" w:hAnsi="Arial" w:cs="Arial"/>
          <w:sz w:val="24"/>
          <w:szCs w:val="24"/>
          <w:lang w:val="es-UY"/>
        </w:rPr>
      </w:pPr>
      <w:r w:rsidRPr="005722A8">
        <w:rPr>
          <w:rFonts w:ascii="Arial" w:hAnsi="Arial" w:cs="Arial"/>
          <w:sz w:val="24"/>
          <w:szCs w:val="24"/>
          <w:lang w:val="es-UY"/>
        </w:rPr>
        <w:t>El alcance de la diligencia debida depende de las circunstancias (cap. II, A, 10) entendidas como tamaño, naturaleza y contexto de las actividades y de la gravedad de los riesgos de incidencias negativas (cap. IV, núm. 5);</w:t>
      </w:r>
    </w:p>
    <w:p w14:paraId="3A70907E" w14:textId="77777777" w:rsidR="00B626B0" w:rsidRPr="005722A8" w:rsidRDefault="00B626B0" w:rsidP="005722A8">
      <w:pPr>
        <w:pStyle w:val="Prrafodelista"/>
        <w:numPr>
          <w:ilvl w:val="0"/>
          <w:numId w:val="8"/>
        </w:numPr>
        <w:autoSpaceDE w:val="0"/>
        <w:autoSpaceDN w:val="0"/>
        <w:adjustRightInd w:val="0"/>
        <w:spacing w:after="0" w:line="240" w:lineRule="auto"/>
        <w:jc w:val="both"/>
        <w:rPr>
          <w:rFonts w:ascii="Arial" w:hAnsi="Arial" w:cs="Arial"/>
          <w:sz w:val="24"/>
          <w:szCs w:val="24"/>
          <w:lang w:val="es-UY"/>
        </w:rPr>
      </w:pPr>
      <w:r w:rsidRPr="005722A8">
        <w:rPr>
          <w:rFonts w:ascii="Arial" w:hAnsi="Arial" w:cs="Arial"/>
          <w:sz w:val="24"/>
          <w:szCs w:val="24"/>
          <w:lang w:val="es-UY"/>
        </w:rPr>
        <w:t>En caso de producción de incidencias negativas, las empresas tienen la obligación de “paliar” dichas incidencias (cap. IV, núm. 2);</w:t>
      </w:r>
    </w:p>
    <w:p w14:paraId="0B6401A7" w14:textId="77777777" w:rsidR="00B626B0" w:rsidRPr="005722A8" w:rsidRDefault="00B626B0" w:rsidP="005722A8">
      <w:pPr>
        <w:pStyle w:val="Prrafodelista"/>
        <w:numPr>
          <w:ilvl w:val="0"/>
          <w:numId w:val="8"/>
        </w:numPr>
        <w:autoSpaceDE w:val="0"/>
        <w:autoSpaceDN w:val="0"/>
        <w:adjustRightInd w:val="0"/>
        <w:spacing w:after="0" w:line="240" w:lineRule="auto"/>
        <w:jc w:val="both"/>
        <w:rPr>
          <w:rFonts w:ascii="Arial" w:hAnsi="Arial" w:cs="Arial"/>
          <w:sz w:val="24"/>
          <w:szCs w:val="24"/>
          <w:lang w:val="es-UY"/>
        </w:rPr>
      </w:pPr>
      <w:r w:rsidRPr="005722A8">
        <w:rPr>
          <w:rFonts w:ascii="Arial" w:hAnsi="Arial" w:cs="Arial"/>
          <w:sz w:val="24"/>
          <w:szCs w:val="24"/>
          <w:lang w:val="es-UY"/>
        </w:rPr>
        <w:t>Las incidencias negativas están referidas a las actividades propias de las empresas o a las vinculadas a través de una “relación de negocio” cap. II,A, núm. 11 y 12)</w:t>
      </w:r>
    </w:p>
    <w:p w14:paraId="580ABBF8" w14:textId="77777777" w:rsidR="00B626B0" w:rsidRPr="005722A8" w:rsidRDefault="00B626B0" w:rsidP="005722A8">
      <w:pPr>
        <w:autoSpaceDE w:val="0"/>
        <w:autoSpaceDN w:val="0"/>
        <w:adjustRightInd w:val="0"/>
        <w:spacing w:after="0" w:line="240" w:lineRule="auto"/>
        <w:jc w:val="both"/>
        <w:rPr>
          <w:rFonts w:ascii="Arial" w:hAnsi="Arial" w:cs="Arial"/>
          <w:sz w:val="24"/>
          <w:szCs w:val="24"/>
        </w:rPr>
      </w:pPr>
    </w:p>
    <w:p w14:paraId="2ED74966" w14:textId="77777777" w:rsidR="00C01451" w:rsidRPr="005722A8" w:rsidRDefault="00C01451" w:rsidP="005722A8">
      <w:pPr>
        <w:autoSpaceDE w:val="0"/>
        <w:autoSpaceDN w:val="0"/>
        <w:adjustRightInd w:val="0"/>
        <w:spacing w:after="0" w:line="240" w:lineRule="auto"/>
        <w:jc w:val="both"/>
        <w:rPr>
          <w:rFonts w:ascii="Arial" w:hAnsi="Arial" w:cs="Arial"/>
          <w:sz w:val="24"/>
          <w:szCs w:val="24"/>
        </w:rPr>
      </w:pPr>
    </w:p>
    <w:p w14:paraId="2BF6BE11" w14:textId="77777777" w:rsidR="00B626B0" w:rsidRPr="00517388" w:rsidRDefault="00B626B0" w:rsidP="00B626B0">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En los Comentarios a las Líneas Directrices se aclara que </w:t>
      </w:r>
    </w:p>
    <w:p w14:paraId="33E65C5B" w14:textId="77777777" w:rsidR="00B626B0" w:rsidRPr="00517388" w:rsidRDefault="00B626B0" w:rsidP="00B626B0">
      <w:pPr>
        <w:autoSpaceDE w:val="0"/>
        <w:autoSpaceDN w:val="0"/>
        <w:adjustRightInd w:val="0"/>
        <w:spacing w:after="0" w:line="240" w:lineRule="auto"/>
        <w:jc w:val="both"/>
        <w:rPr>
          <w:rFonts w:ascii="Arial" w:hAnsi="Arial" w:cs="Arial"/>
          <w:sz w:val="24"/>
          <w:szCs w:val="24"/>
        </w:rPr>
      </w:pPr>
    </w:p>
    <w:p w14:paraId="2771E228" w14:textId="4B70F153" w:rsidR="00B626B0" w:rsidRPr="00517388" w:rsidRDefault="00B626B0" w:rsidP="002C7508">
      <w:pPr>
        <w:autoSpaceDE w:val="0"/>
        <w:autoSpaceDN w:val="0"/>
        <w:adjustRightInd w:val="0"/>
        <w:spacing w:after="0" w:line="240" w:lineRule="auto"/>
        <w:ind w:left="567" w:right="566"/>
        <w:jc w:val="both"/>
        <w:rPr>
          <w:rFonts w:ascii="Arial" w:hAnsi="Arial" w:cs="Arial"/>
          <w:sz w:val="24"/>
          <w:szCs w:val="24"/>
        </w:rPr>
      </w:pPr>
      <w:r w:rsidRPr="00517388">
        <w:rPr>
          <w:rFonts w:ascii="Arial" w:hAnsi="Arial" w:cs="Arial"/>
          <w:i/>
          <w:sz w:val="24"/>
          <w:szCs w:val="24"/>
        </w:rPr>
        <w:t>En las Directrices se entiende por diligencia debida el proceso que, como parte integrante de sus criterios de decisión, permite a las empresas identificar, prevenir y atenuar las incidencias negativas, reales o potenciales, de sus actividades, así como informar de la manera como abordan este tema (…) las incidencias potenciales deben ser tratadas a través de medidas de prevención o atenuación mientras que las incidencias reales serán tratadas con medios de reparación</w:t>
      </w:r>
      <w:r w:rsidR="002C7508" w:rsidRPr="00517388">
        <w:rPr>
          <w:rFonts w:ascii="Arial" w:hAnsi="Arial" w:cs="Arial"/>
          <w:sz w:val="24"/>
          <w:szCs w:val="24"/>
        </w:rPr>
        <w:t>.</w:t>
      </w:r>
      <w:r w:rsidRPr="00517388">
        <w:rPr>
          <w:rStyle w:val="Refdenotaalpie"/>
          <w:rFonts w:ascii="Arial" w:hAnsi="Arial" w:cs="Arial"/>
          <w:sz w:val="24"/>
          <w:szCs w:val="24"/>
        </w:rPr>
        <w:footnoteReference w:id="16"/>
      </w:r>
      <w:r w:rsidRPr="00517388">
        <w:rPr>
          <w:rFonts w:ascii="Arial" w:hAnsi="Arial" w:cs="Arial"/>
          <w:sz w:val="24"/>
          <w:szCs w:val="24"/>
        </w:rPr>
        <w:t xml:space="preserve"> </w:t>
      </w:r>
    </w:p>
    <w:p w14:paraId="56FDDCDD" w14:textId="77777777" w:rsidR="00B626B0" w:rsidRPr="00517388" w:rsidRDefault="00B626B0" w:rsidP="00B626B0">
      <w:pPr>
        <w:autoSpaceDE w:val="0"/>
        <w:autoSpaceDN w:val="0"/>
        <w:adjustRightInd w:val="0"/>
        <w:spacing w:after="0" w:line="240" w:lineRule="auto"/>
        <w:jc w:val="both"/>
        <w:rPr>
          <w:rFonts w:ascii="Arial" w:hAnsi="Arial" w:cs="Arial"/>
          <w:sz w:val="24"/>
          <w:szCs w:val="24"/>
        </w:rPr>
      </w:pPr>
    </w:p>
    <w:p w14:paraId="640EFD4C" w14:textId="77777777" w:rsidR="00B626B0" w:rsidRPr="00517388" w:rsidRDefault="00B626B0" w:rsidP="00B626B0">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Agrega que: </w:t>
      </w:r>
    </w:p>
    <w:p w14:paraId="2E1845D8" w14:textId="77777777" w:rsidR="00B626B0" w:rsidRPr="00517388" w:rsidRDefault="00B626B0" w:rsidP="00B626B0">
      <w:pPr>
        <w:autoSpaceDE w:val="0"/>
        <w:autoSpaceDN w:val="0"/>
        <w:adjustRightInd w:val="0"/>
        <w:spacing w:after="0" w:line="240" w:lineRule="auto"/>
        <w:jc w:val="both"/>
        <w:rPr>
          <w:rFonts w:ascii="Arial" w:hAnsi="Arial" w:cs="Arial"/>
          <w:sz w:val="24"/>
          <w:szCs w:val="24"/>
        </w:rPr>
      </w:pPr>
    </w:p>
    <w:p w14:paraId="743C4542" w14:textId="7BA84E1F" w:rsidR="00B626B0" w:rsidRPr="00517388" w:rsidRDefault="00B626B0" w:rsidP="002C7508">
      <w:pPr>
        <w:autoSpaceDE w:val="0"/>
        <w:autoSpaceDN w:val="0"/>
        <w:adjustRightInd w:val="0"/>
        <w:spacing w:after="0" w:line="240" w:lineRule="auto"/>
        <w:ind w:left="567" w:right="566"/>
        <w:jc w:val="both"/>
        <w:rPr>
          <w:rFonts w:ascii="Arial" w:hAnsi="Arial" w:cs="Arial"/>
          <w:sz w:val="24"/>
          <w:szCs w:val="24"/>
        </w:rPr>
      </w:pPr>
      <w:r w:rsidRPr="00517388">
        <w:rPr>
          <w:rFonts w:ascii="Arial" w:hAnsi="Arial" w:cs="Arial"/>
          <w:i/>
          <w:sz w:val="24"/>
          <w:szCs w:val="24"/>
        </w:rPr>
        <w:t>La naturaleza y el alcance de la diligencia debida (como las medidas específicas a tomar) apropiada a una situación concreta dependerá de factores como, el tamaño de la empresa, el contexto en el que se desarrollan sus actividades, las recomendaciones específicas de las Directrices y la gravedad de las incidencias negativas</w:t>
      </w:r>
      <w:r w:rsidR="002C7508" w:rsidRPr="00517388">
        <w:rPr>
          <w:rFonts w:ascii="Arial" w:hAnsi="Arial" w:cs="Arial"/>
          <w:sz w:val="24"/>
          <w:szCs w:val="24"/>
        </w:rPr>
        <w:t>.</w:t>
      </w:r>
      <w:r w:rsidRPr="00517388">
        <w:rPr>
          <w:rStyle w:val="Refdenotaalpie"/>
          <w:rFonts w:ascii="Arial" w:hAnsi="Arial" w:cs="Arial"/>
          <w:sz w:val="24"/>
          <w:szCs w:val="24"/>
        </w:rPr>
        <w:footnoteReference w:id="17"/>
      </w:r>
    </w:p>
    <w:p w14:paraId="4739F45B" w14:textId="77777777" w:rsidR="00B626B0" w:rsidRPr="00517388" w:rsidRDefault="00B626B0" w:rsidP="002C7508">
      <w:pPr>
        <w:autoSpaceDE w:val="0"/>
        <w:autoSpaceDN w:val="0"/>
        <w:adjustRightInd w:val="0"/>
        <w:spacing w:after="0" w:line="240" w:lineRule="auto"/>
        <w:ind w:left="567" w:right="566"/>
        <w:jc w:val="both"/>
        <w:rPr>
          <w:rFonts w:ascii="Arial" w:hAnsi="Arial" w:cs="Arial"/>
          <w:sz w:val="24"/>
          <w:szCs w:val="24"/>
        </w:rPr>
      </w:pPr>
    </w:p>
    <w:p w14:paraId="156018CF" w14:textId="77777777" w:rsidR="00B626B0" w:rsidRPr="00517388" w:rsidRDefault="00B626B0" w:rsidP="00B626B0">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Se dice asimismo que  </w:t>
      </w:r>
    </w:p>
    <w:p w14:paraId="22A47732" w14:textId="77777777" w:rsidR="00B626B0" w:rsidRPr="00517388" w:rsidRDefault="00B626B0" w:rsidP="00B626B0">
      <w:pPr>
        <w:autoSpaceDE w:val="0"/>
        <w:autoSpaceDN w:val="0"/>
        <w:adjustRightInd w:val="0"/>
        <w:spacing w:after="0" w:line="240" w:lineRule="auto"/>
        <w:jc w:val="both"/>
        <w:rPr>
          <w:rFonts w:ascii="Arial" w:hAnsi="Arial" w:cs="Arial"/>
          <w:sz w:val="24"/>
          <w:szCs w:val="24"/>
        </w:rPr>
      </w:pPr>
    </w:p>
    <w:p w14:paraId="1A7D8345" w14:textId="2C5E2288" w:rsidR="00B626B0" w:rsidRPr="00517388" w:rsidRDefault="00B626B0" w:rsidP="002C7508">
      <w:pPr>
        <w:autoSpaceDE w:val="0"/>
        <w:autoSpaceDN w:val="0"/>
        <w:adjustRightInd w:val="0"/>
        <w:spacing w:after="0" w:line="240" w:lineRule="auto"/>
        <w:ind w:left="567" w:right="707"/>
        <w:jc w:val="both"/>
        <w:rPr>
          <w:rFonts w:ascii="Arial" w:hAnsi="Arial" w:cs="Arial"/>
          <w:i/>
          <w:sz w:val="24"/>
          <w:szCs w:val="24"/>
        </w:rPr>
      </w:pPr>
      <w:r w:rsidRPr="00517388">
        <w:rPr>
          <w:rFonts w:ascii="Arial" w:hAnsi="Arial" w:cs="Arial"/>
          <w:i/>
          <w:sz w:val="24"/>
          <w:szCs w:val="24"/>
        </w:rPr>
        <w:t xml:space="preserve">los Estados tienen el deber de proteger los derechos humanos y (…) las empresas, con independencia de su tamaño, sector de actividad, contexto operacional, estructura de propiedad u organización, deben respetar los derechos humanos en cualquier lugar en que ejerzan sus actividades. El respeto de los derechos humanos es la norma mundial de conducta esperada de las empresas, independientemente de la capacidad y/o la voluntad de los Estados de cumplir sus obligaciones en la materia y esto, </w:t>
      </w:r>
      <w:r w:rsidR="002C7508" w:rsidRPr="00517388">
        <w:rPr>
          <w:rFonts w:ascii="Arial" w:hAnsi="Arial" w:cs="Arial"/>
          <w:i/>
          <w:sz w:val="24"/>
          <w:szCs w:val="24"/>
        </w:rPr>
        <w:t>no disminuye estas obligaciones.</w:t>
      </w:r>
      <w:r w:rsidRPr="00517388">
        <w:rPr>
          <w:rStyle w:val="Refdenotaalpie"/>
          <w:rFonts w:ascii="Arial" w:hAnsi="Arial" w:cs="Arial"/>
          <w:i/>
          <w:sz w:val="24"/>
          <w:szCs w:val="24"/>
        </w:rPr>
        <w:footnoteReference w:id="18"/>
      </w:r>
    </w:p>
    <w:p w14:paraId="5C21BA31" w14:textId="77777777" w:rsidR="00B626B0" w:rsidRPr="00517388" w:rsidRDefault="00B626B0" w:rsidP="00B626B0">
      <w:pPr>
        <w:autoSpaceDE w:val="0"/>
        <w:autoSpaceDN w:val="0"/>
        <w:adjustRightInd w:val="0"/>
        <w:spacing w:after="0" w:line="240" w:lineRule="auto"/>
        <w:jc w:val="both"/>
        <w:rPr>
          <w:rFonts w:ascii="Arial" w:hAnsi="Arial" w:cs="Arial"/>
          <w:sz w:val="24"/>
          <w:szCs w:val="24"/>
        </w:rPr>
      </w:pPr>
    </w:p>
    <w:p w14:paraId="14F0D89F" w14:textId="254631A0" w:rsidR="00B626B0" w:rsidRPr="00517388" w:rsidRDefault="00B626B0" w:rsidP="00B626B0">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En este punto debe subrayarse </w:t>
      </w:r>
      <w:r w:rsidR="002C7508" w:rsidRPr="00517388">
        <w:rPr>
          <w:rFonts w:ascii="Arial" w:hAnsi="Arial" w:cs="Arial"/>
          <w:sz w:val="24"/>
          <w:szCs w:val="24"/>
        </w:rPr>
        <w:t>un distinto énfasis entre las Lí</w:t>
      </w:r>
      <w:r w:rsidRPr="00517388">
        <w:rPr>
          <w:rFonts w:ascii="Arial" w:hAnsi="Arial" w:cs="Arial"/>
          <w:sz w:val="24"/>
          <w:szCs w:val="24"/>
        </w:rPr>
        <w:t>neas Directrices y sus Comentarios:</w:t>
      </w:r>
    </w:p>
    <w:p w14:paraId="76B31809" w14:textId="77777777" w:rsidR="00B626B0" w:rsidRPr="00517388" w:rsidRDefault="00B626B0" w:rsidP="00B626B0">
      <w:pPr>
        <w:autoSpaceDE w:val="0"/>
        <w:autoSpaceDN w:val="0"/>
        <w:adjustRightInd w:val="0"/>
        <w:spacing w:after="0" w:line="240" w:lineRule="auto"/>
        <w:jc w:val="both"/>
        <w:rPr>
          <w:rFonts w:ascii="Arial" w:hAnsi="Arial" w:cs="Arial"/>
          <w:sz w:val="24"/>
          <w:szCs w:val="24"/>
        </w:rPr>
      </w:pPr>
    </w:p>
    <w:p w14:paraId="4FAE0E06" w14:textId="7A989E72" w:rsidR="00B626B0" w:rsidRPr="00517388" w:rsidRDefault="00B626B0" w:rsidP="00B626B0">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Mientras que el núm.5 del cap. IV de las Líneas Directrices sobre </w:t>
      </w:r>
      <w:r w:rsidR="002C7508" w:rsidRPr="00517388">
        <w:rPr>
          <w:rFonts w:ascii="Arial" w:hAnsi="Arial" w:cs="Arial"/>
          <w:sz w:val="24"/>
          <w:szCs w:val="24"/>
        </w:rPr>
        <w:t>DDHH</w:t>
      </w:r>
      <w:r w:rsidRPr="00517388">
        <w:rPr>
          <w:rFonts w:ascii="Arial" w:hAnsi="Arial" w:cs="Arial"/>
          <w:sz w:val="24"/>
          <w:szCs w:val="24"/>
        </w:rPr>
        <w:t xml:space="preserve"> </w:t>
      </w:r>
      <w:r w:rsidR="002C7508" w:rsidRPr="00517388">
        <w:rPr>
          <w:rFonts w:ascii="Arial" w:hAnsi="Arial" w:cs="Arial"/>
          <w:sz w:val="24"/>
          <w:szCs w:val="24"/>
        </w:rPr>
        <w:t xml:space="preserve">indica </w:t>
      </w:r>
      <w:r w:rsidRPr="00517388">
        <w:rPr>
          <w:rFonts w:ascii="Arial" w:hAnsi="Arial" w:cs="Arial"/>
          <w:sz w:val="24"/>
          <w:szCs w:val="24"/>
        </w:rPr>
        <w:t xml:space="preserve">que las empresas deben emplear la “debida diligencia” </w:t>
      </w:r>
      <w:r w:rsidRPr="00517388">
        <w:rPr>
          <w:rFonts w:ascii="Arial" w:hAnsi="Arial" w:cs="Arial"/>
          <w:b/>
          <w:sz w:val="24"/>
          <w:szCs w:val="24"/>
        </w:rPr>
        <w:t xml:space="preserve">en función </w:t>
      </w:r>
      <w:r w:rsidRPr="00517388">
        <w:rPr>
          <w:rFonts w:ascii="Arial" w:hAnsi="Arial" w:cs="Arial"/>
          <w:sz w:val="24"/>
          <w:szCs w:val="24"/>
        </w:rPr>
        <w:t xml:space="preserve">de su tamaño, etc, en el núm. 37 de los Comentarios se dice que las empresas </w:t>
      </w:r>
      <w:r w:rsidRPr="00517388">
        <w:rPr>
          <w:rFonts w:ascii="Arial" w:hAnsi="Arial" w:cs="Arial"/>
          <w:b/>
          <w:sz w:val="24"/>
          <w:szCs w:val="24"/>
        </w:rPr>
        <w:t>con independencia</w:t>
      </w:r>
      <w:r w:rsidRPr="00517388">
        <w:rPr>
          <w:rFonts w:ascii="Arial" w:hAnsi="Arial" w:cs="Arial"/>
          <w:sz w:val="24"/>
          <w:szCs w:val="24"/>
        </w:rPr>
        <w:t xml:space="preserve"> de su tamaño, etc deben respetar los derechos humanos.</w:t>
      </w:r>
    </w:p>
    <w:p w14:paraId="635CE6A7" w14:textId="77777777" w:rsidR="00B626B0" w:rsidRPr="00517388" w:rsidRDefault="00B626B0" w:rsidP="002C4DAB">
      <w:pPr>
        <w:autoSpaceDE w:val="0"/>
        <w:autoSpaceDN w:val="0"/>
        <w:adjustRightInd w:val="0"/>
        <w:spacing w:after="0" w:line="240" w:lineRule="auto"/>
        <w:jc w:val="both"/>
        <w:rPr>
          <w:rFonts w:ascii="Arial" w:hAnsi="Arial" w:cs="Arial"/>
          <w:sz w:val="24"/>
          <w:szCs w:val="24"/>
        </w:rPr>
      </w:pPr>
    </w:p>
    <w:p w14:paraId="39ABF13A" w14:textId="4EC8A03A" w:rsidR="00B626B0" w:rsidRPr="00517388" w:rsidRDefault="00B626B0" w:rsidP="002C4DAB">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Armonizando ambos textos, tendríamos que las empresas:</w:t>
      </w:r>
    </w:p>
    <w:p w14:paraId="4C036630" w14:textId="77777777" w:rsidR="002C7508" w:rsidRPr="00517388" w:rsidRDefault="002C7508" w:rsidP="002C4DAB">
      <w:pPr>
        <w:autoSpaceDE w:val="0"/>
        <w:autoSpaceDN w:val="0"/>
        <w:adjustRightInd w:val="0"/>
        <w:spacing w:after="0" w:line="240" w:lineRule="auto"/>
        <w:jc w:val="both"/>
        <w:rPr>
          <w:rFonts w:ascii="Arial" w:hAnsi="Arial" w:cs="Arial"/>
          <w:sz w:val="24"/>
          <w:szCs w:val="24"/>
        </w:rPr>
      </w:pPr>
    </w:p>
    <w:p w14:paraId="54B39CBC" w14:textId="183ECE03" w:rsidR="002C4DAB" w:rsidRPr="00517388" w:rsidRDefault="00B626B0" w:rsidP="002C4DAB">
      <w:pPr>
        <w:pStyle w:val="Prrafodelista"/>
        <w:numPr>
          <w:ilvl w:val="0"/>
          <w:numId w:val="13"/>
        </w:num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con </w:t>
      </w:r>
      <w:r w:rsidRPr="00517388">
        <w:rPr>
          <w:rFonts w:ascii="Arial" w:hAnsi="Arial" w:cs="Arial"/>
          <w:b/>
          <w:sz w:val="24"/>
          <w:szCs w:val="24"/>
        </w:rPr>
        <w:t xml:space="preserve">independencia </w:t>
      </w:r>
      <w:r w:rsidRPr="00517388">
        <w:rPr>
          <w:rFonts w:ascii="Arial" w:hAnsi="Arial" w:cs="Arial"/>
          <w:sz w:val="24"/>
          <w:szCs w:val="24"/>
        </w:rPr>
        <w:t xml:space="preserve">de su tamaño deben </w:t>
      </w:r>
      <w:r w:rsidRPr="00517388">
        <w:rPr>
          <w:rFonts w:ascii="Arial" w:hAnsi="Arial" w:cs="Arial"/>
          <w:b/>
          <w:sz w:val="24"/>
          <w:szCs w:val="24"/>
        </w:rPr>
        <w:t>respetar</w:t>
      </w:r>
      <w:r w:rsidR="002C4DAB" w:rsidRPr="00517388">
        <w:rPr>
          <w:rFonts w:ascii="Arial" w:hAnsi="Arial" w:cs="Arial"/>
          <w:sz w:val="24"/>
          <w:szCs w:val="24"/>
        </w:rPr>
        <w:t xml:space="preserve"> los derechos humanos;</w:t>
      </w:r>
    </w:p>
    <w:p w14:paraId="3C72045C" w14:textId="77777777" w:rsidR="002C4DAB" w:rsidRPr="00517388" w:rsidRDefault="002C4DAB" w:rsidP="002C4DAB">
      <w:pPr>
        <w:pStyle w:val="Prrafodelista"/>
        <w:autoSpaceDE w:val="0"/>
        <w:autoSpaceDN w:val="0"/>
        <w:adjustRightInd w:val="0"/>
        <w:spacing w:after="0" w:line="240" w:lineRule="auto"/>
        <w:jc w:val="both"/>
        <w:rPr>
          <w:rFonts w:ascii="Arial" w:hAnsi="Arial" w:cs="Arial"/>
          <w:sz w:val="24"/>
          <w:szCs w:val="24"/>
        </w:rPr>
      </w:pPr>
    </w:p>
    <w:p w14:paraId="382CDED0" w14:textId="1728B922" w:rsidR="00B626B0" w:rsidRPr="00517388" w:rsidRDefault="00B626B0" w:rsidP="002C4DAB">
      <w:pPr>
        <w:pStyle w:val="Prrafodelista"/>
        <w:numPr>
          <w:ilvl w:val="0"/>
          <w:numId w:val="13"/>
        </w:num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pero están obligadas a emplear la </w:t>
      </w:r>
      <w:r w:rsidRPr="00517388">
        <w:rPr>
          <w:rFonts w:ascii="Arial" w:hAnsi="Arial" w:cs="Arial"/>
          <w:b/>
          <w:sz w:val="24"/>
          <w:szCs w:val="24"/>
        </w:rPr>
        <w:t xml:space="preserve">debida diligencia para la efectividad de los derechos </w:t>
      </w:r>
      <w:r w:rsidRPr="00517388">
        <w:rPr>
          <w:rFonts w:ascii="Arial" w:hAnsi="Arial" w:cs="Arial"/>
          <w:sz w:val="24"/>
          <w:szCs w:val="24"/>
        </w:rPr>
        <w:t xml:space="preserve">en </w:t>
      </w:r>
      <w:r w:rsidRPr="00517388">
        <w:rPr>
          <w:rFonts w:ascii="Arial" w:hAnsi="Arial" w:cs="Arial"/>
          <w:b/>
          <w:sz w:val="24"/>
          <w:szCs w:val="24"/>
        </w:rPr>
        <w:t xml:space="preserve">función </w:t>
      </w:r>
      <w:r w:rsidRPr="00517388">
        <w:rPr>
          <w:rFonts w:ascii="Arial" w:hAnsi="Arial" w:cs="Arial"/>
          <w:sz w:val="24"/>
          <w:szCs w:val="24"/>
        </w:rPr>
        <w:t>(o sea, dependiendo) de su tamaño y demás circunstancias (contextos, gravedad de los riesgos de incidencias negativas, etc)</w:t>
      </w:r>
    </w:p>
    <w:p w14:paraId="7D1E0AE5" w14:textId="77777777" w:rsidR="002C4DAB" w:rsidRPr="00517388" w:rsidRDefault="002C4DAB" w:rsidP="00B626B0">
      <w:pPr>
        <w:autoSpaceDE w:val="0"/>
        <w:autoSpaceDN w:val="0"/>
        <w:adjustRightInd w:val="0"/>
        <w:spacing w:after="0" w:line="240" w:lineRule="auto"/>
        <w:jc w:val="both"/>
        <w:rPr>
          <w:rFonts w:ascii="Arial" w:hAnsi="Arial" w:cs="Arial"/>
          <w:sz w:val="24"/>
          <w:szCs w:val="24"/>
        </w:rPr>
      </w:pPr>
    </w:p>
    <w:p w14:paraId="2E21A41E" w14:textId="20B32922" w:rsidR="00B626B0" w:rsidRPr="00517388" w:rsidRDefault="00B626B0" w:rsidP="00B626B0">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La incorporación de esos condicionamientos en el cumplimiento de los </w:t>
      </w:r>
      <w:r w:rsidR="002C4DAB" w:rsidRPr="00517388">
        <w:rPr>
          <w:rFonts w:ascii="Arial" w:hAnsi="Arial" w:cs="Arial"/>
          <w:sz w:val="24"/>
          <w:szCs w:val="24"/>
        </w:rPr>
        <w:t>DDHH</w:t>
      </w:r>
      <w:r w:rsidRPr="00517388">
        <w:rPr>
          <w:rFonts w:ascii="Arial" w:hAnsi="Arial" w:cs="Arial"/>
          <w:sz w:val="24"/>
          <w:szCs w:val="24"/>
        </w:rPr>
        <w:t xml:space="preserve"> (tamaño de la empresa, contextos, gravedad, etc) puede comportar una restricción, haciendo depender el ejercicio y efectividad de los derechos de factores económicos como el tamaño de la empresa y</w:t>
      </w:r>
      <w:r w:rsidR="00085AC3">
        <w:rPr>
          <w:rFonts w:ascii="Arial" w:hAnsi="Arial" w:cs="Arial"/>
          <w:sz w:val="24"/>
          <w:szCs w:val="24"/>
        </w:rPr>
        <w:t xml:space="preserve"> el contexto (¿cual contexto? ¿político? ¿</w:t>
      </w:r>
      <w:r w:rsidRPr="00517388">
        <w:rPr>
          <w:rFonts w:ascii="Arial" w:hAnsi="Arial" w:cs="Arial"/>
          <w:sz w:val="24"/>
          <w:szCs w:val="24"/>
        </w:rPr>
        <w:t>económico?).</w:t>
      </w:r>
    </w:p>
    <w:p w14:paraId="5BA1CF70" w14:textId="77777777" w:rsidR="00B626B0" w:rsidRPr="00517388" w:rsidRDefault="00B626B0" w:rsidP="00B626B0">
      <w:pPr>
        <w:autoSpaceDE w:val="0"/>
        <w:autoSpaceDN w:val="0"/>
        <w:adjustRightInd w:val="0"/>
        <w:spacing w:after="0" w:line="240" w:lineRule="auto"/>
        <w:jc w:val="both"/>
        <w:rPr>
          <w:rFonts w:ascii="Arial" w:hAnsi="Arial" w:cs="Arial"/>
          <w:i/>
          <w:sz w:val="24"/>
          <w:szCs w:val="24"/>
        </w:rPr>
      </w:pPr>
    </w:p>
    <w:p w14:paraId="46F829B7" w14:textId="2D77049E" w:rsidR="00085AC3" w:rsidRDefault="002C4DAB" w:rsidP="00085AC3">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La modificación de la </w:t>
      </w:r>
      <w:r w:rsidR="00556ACD" w:rsidRPr="00517388">
        <w:rPr>
          <w:rFonts w:ascii="Arial" w:hAnsi="Arial" w:cs="Arial"/>
          <w:sz w:val="24"/>
          <w:szCs w:val="24"/>
        </w:rPr>
        <w:t xml:space="preserve">Declaración </w:t>
      </w:r>
      <w:r w:rsidRPr="00517388">
        <w:rPr>
          <w:rFonts w:ascii="Arial" w:hAnsi="Arial" w:cs="Arial"/>
          <w:sz w:val="24"/>
          <w:szCs w:val="24"/>
        </w:rPr>
        <w:t>T</w:t>
      </w:r>
      <w:r w:rsidR="00556ACD" w:rsidRPr="00517388">
        <w:rPr>
          <w:rFonts w:ascii="Arial" w:hAnsi="Arial" w:cs="Arial"/>
          <w:sz w:val="24"/>
          <w:szCs w:val="24"/>
        </w:rPr>
        <w:t xml:space="preserve">ripartita de </w:t>
      </w:r>
      <w:r w:rsidRPr="00517388">
        <w:rPr>
          <w:rFonts w:ascii="Arial" w:hAnsi="Arial" w:cs="Arial"/>
          <w:sz w:val="24"/>
          <w:szCs w:val="24"/>
        </w:rPr>
        <w:t>P</w:t>
      </w:r>
      <w:r w:rsidR="00556ACD" w:rsidRPr="00517388">
        <w:rPr>
          <w:rFonts w:ascii="Arial" w:hAnsi="Arial" w:cs="Arial"/>
          <w:sz w:val="24"/>
          <w:szCs w:val="24"/>
        </w:rPr>
        <w:t xml:space="preserve">rincipios de la OIT sobre las </w:t>
      </w:r>
      <w:r w:rsidRPr="00517388">
        <w:rPr>
          <w:rFonts w:ascii="Arial" w:hAnsi="Arial" w:cs="Arial"/>
          <w:sz w:val="24"/>
          <w:szCs w:val="24"/>
        </w:rPr>
        <w:t>E</w:t>
      </w:r>
      <w:r w:rsidR="00556ACD" w:rsidRPr="00517388">
        <w:rPr>
          <w:rFonts w:ascii="Arial" w:hAnsi="Arial" w:cs="Arial"/>
          <w:sz w:val="24"/>
          <w:szCs w:val="24"/>
        </w:rPr>
        <w:t xml:space="preserve">mpresas </w:t>
      </w:r>
      <w:r w:rsidRPr="00517388">
        <w:rPr>
          <w:rFonts w:ascii="Arial" w:hAnsi="Arial" w:cs="Arial"/>
          <w:sz w:val="24"/>
          <w:szCs w:val="24"/>
        </w:rPr>
        <w:t>M</w:t>
      </w:r>
      <w:r w:rsidR="00556ACD" w:rsidRPr="00517388">
        <w:rPr>
          <w:rFonts w:ascii="Arial" w:hAnsi="Arial" w:cs="Arial"/>
          <w:sz w:val="24"/>
          <w:szCs w:val="24"/>
        </w:rPr>
        <w:t xml:space="preserve">ultinacionales y la </w:t>
      </w:r>
      <w:r w:rsidRPr="00517388">
        <w:rPr>
          <w:rFonts w:ascii="Arial" w:hAnsi="Arial" w:cs="Arial"/>
          <w:sz w:val="24"/>
          <w:szCs w:val="24"/>
        </w:rPr>
        <w:t>Política S</w:t>
      </w:r>
      <w:r w:rsidR="00556ACD" w:rsidRPr="00517388">
        <w:rPr>
          <w:rFonts w:ascii="Arial" w:hAnsi="Arial" w:cs="Arial"/>
          <w:sz w:val="24"/>
          <w:szCs w:val="24"/>
        </w:rPr>
        <w:t>ocial</w:t>
      </w:r>
      <w:r w:rsidRPr="00517388">
        <w:rPr>
          <w:rFonts w:ascii="Arial" w:hAnsi="Arial" w:cs="Arial"/>
          <w:sz w:val="24"/>
          <w:szCs w:val="24"/>
        </w:rPr>
        <w:t xml:space="preserve"> también incluye la debida diligencia, aunque sin el desarrollo de las Directrices de OCDE que acabamos de glosar</w:t>
      </w:r>
      <w:r w:rsidR="00085AC3">
        <w:rPr>
          <w:rFonts w:ascii="Arial" w:hAnsi="Arial" w:cs="Arial"/>
          <w:sz w:val="24"/>
          <w:szCs w:val="24"/>
        </w:rPr>
        <w:t>, y el organismo también ha incorporado el deber de diligencia en su discurso en la resolución relativa al trabajo digno en las cadenas mundiales de suministro (2016).</w:t>
      </w:r>
    </w:p>
    <w:p w14:paraId="20BA24D5" w14:textId="2B40AD56" w:rsidR="00AD7347" w:rsidRPr="00517388" w:rsidRDefault="00AD7347" w:rsidP="00AB64B1">
      <w:pPr>
        <w:jc w:val="both"/>
        <w:rPr>
          <w:rFonts w:ascii="Arial" w:hAnsi="Arial" w:cs="Arial"/>
          <w:sz w:val="24"/>
          <w:szCs w:val="24"/>
        </w:rPr>
      </w:pPr>
    </w:p>
    <w:p w14:paraId="0EEFF046" w14:textId="77777777" w:rsidR="002977BC" w:rsidRPr="00517388" w:rsidRDefault="002977BC" w:rsidP="00AB64B1">
      <w:pPr>
        <w:jc w:val="both"/>
        <w:rPr>
          <w:rFonts w:ascii="Arial" w:hAnsi="Arial" w:cs="Arial"/>
          <w:sz w:val="24"/>
          <w:szCs w:val="24"/>
        </w:rPr>
      </w:pPr>
    </w:p>
    <w:p w14:paraId="36E60725" w14:textId="79AC809B" w:rsidR="002977BC" w:rsidRPr="00517388" w:rsidRDefault="00C01451" w:rsidP="00AB64B1">
      <w:pPr>
        <w:jc w:val="both"/>
        <w:rPr>
          <w:rFonts w:ascii="Arial" w:hAnsi="Arial" w:cs="Arial"/>
          <w:bCs/>
          <w:i/>
          <w:sz w:val="24"/>
          <w:szCs w:val="24"/>
        </w:rPr>
      </w:pPr>
      <w:r w:rsidRPr="00517388">
        <w:rPr>
          <w:rFonts w:ascii="Arial" w:hAnsi="Arial" w:cs="Arial"/>
          <w:i/>
          <w:sz w:val="24"/>
          <w:szCs w:val="24"/>
        </w:rPr>
        <w:t>II.2.2</w:t>
      </w:r>
      <w:r w:rsidR="002977BC" w:rsidRPr="00517388">
        <w:rPr>
          <w:rFonts w:ascii="Arial" w:hAnsi="Arial" w:cs="Arial"/>
          <w:i/>
          <w:sz w:val="24"/>
          <w:szCs w:val="24"/>
        </w:rPr>
        <w:t xml:space="preserve"> Ejes del debate </w:t>
      </w:r>
      <w:r w:rsidR="000E23CC">
        <w:rPr>
          <w:rFonts w:ascii="Arial" w:hAnsi="Arial" w:cs="Arial"/>
          <w:i/>
          <w:sz w:val="24"/>
          <w:szCs w:val="24"/>
        </w:rPr>
        <w:t xml:space="preserve">sobre debida diligencia </w:t>
      </w:r>
      <w:r w:rsidR="002977BC" w:rsidRPr="00517388">
        <w:rPr>
          <w:rFonts w:ascii="Arial" w:hAnsi="Arial" w:cs="Arial"/>
          <w:i/>
          <w:sz w:val="24"/>
          <w:szCs w:val="24"/>
        </w:rPr>
        <w:t xml:space="preserve">en el borrador de tratado vinculante sobre empresas y Derechos Humanos  </w:t>
      </w:r>
    </w:p>
    <w:p w14:paraId="50637DA3" w14:textId="278F4C20" w:rsidR="00567E30" w:rsidRPr="00517388" w:rsidRDefault="00567E30" w:rsidP="00AB64B1">
      <w:pPr>
        <w:jc w:val="both"/>
        <w:rPr>
          <w:rFonts w:ascii="Arial" w:hAnsi="Arial" w:cs="Arial"/>
          <w:sz w:val="24"/>
          <w:szCs w:val="24"/>
        </w:rPr>
      </w:pPr>
      <w:r w:rsidRPr="00517388">
        <w:rPr>
          <w:rFonts w:ascii="Arial" w:hAnsi="Arial" w:cs="Arial"/>
          <w:sz w:val="24"/>
          <w:szCs w:val="24"/>
        </w:rPr>
        <w:lastRenderedPageBreak/>
        <w:t>En lo más reciente, conviene detenerse en el proceso en cur</w:t>
      </w:r>
      <w:r w:rsidR="002578BA" w:rsidRPr="00517388">
        <w:rPr>
          <w:rFonts w:ascii="Arial" w:hAnsi="Arial" w:cs="Arial"/>
          <w:sz w:val="24"/>
          <w:szCs w:val="24"/>
        </w:rPr>
        <w:t>so desde 2005 en la Comisió</w:t>
      </w:r>
      <w:r w:rsidRPr="00517388">
        <w:rPr>
          <w:rFonts w:ascii="Arial" w:hAnsi="Arial" w:cs="Arial"/>
          <w:sz w:val="24"/>
          <w:szCs w:val="24"/>
        </w:rPr>
        <w:t>n de Derechos Humanos de</w:t>
      </w:r>
      <w:r w:rsidR="002578BA" w:rsidRPr="00517388">
        <w:rPr>
          <w:rFonts w:ascii="Arial" w:hAnsi="Arial" w:cs="Arial"/>
          <w:sz w:val="24"/>
          <w:szCs w:val="24"/>
        </w:rPr>
        <w:t xml:space="preserve"> las Naciones Unidas.</w:t>
      </w:r>
    </w:p>
    <w:p w14:paraId="0AD6F080" w14:textId="77777777" w:rsidR="000E23CC" w:rsidRDefault="002578BA" w:rsidP="00896045">
      <w:pPr>
        <w:jc w:val="both"/>
        <w:rPr>
          <w:rFonts w:ascii="Arial" w:hAnsi="Arial" w:cs="Arial"/>
          <w:sz w:val="24"/>
          <w:szCs w:val="24"/>
        </w:rPr>
      </w:pPr>
      <w:r w:rsidRPr="00517388">
        <w:rPr>
          <w:rFonts w:ascii="Arial" w:hAnsi="Arial" w:cs="Arial"/>
          <w:sz w:val="24"/>
          <w:szCs w:val="24"/>
        </w:rPr>
        <w:t xml:space="preserve">En ese año, </w:t>
      </w:r>
      <w:r w:rsidR="00896045" w:rsidRPr="00517388">
        <w:rPr>
          <w:rFonts w:ascii="Arial" w:hAnsi="Arial" w:cs="Arial"/>
          <w:sz w:val="24"/>
          <w:szCs w:val="24"/>
        </w:rPr>
        <w:t>ante la imposibilidad de</w:t>
      </w:r>
      <w:r w:rsidR="002977BC" w:rsidRPr="00517388">
        <w:rPr>
          <w:rFonts w:ascii="Arial" w:hAnsi="Arial" w:cs="Arial"/>
          <w:sz w:val="24"/>
          <w:szCs w:val="24"/>
        </w:rPr>
        <w:t>l Consejo de las Naciones Unidas</w:t>
      </w:r>
      <w:r w:rsidR="00896045" w:rsidRPr="00517388">
        <w:rPr>
          <w:rFonts w:ascii="Arial" w:hAnsi="Arial" w:cs="Arial"/>
          <w:sz w:val="24"/>
          <w:szCs w:val="24"/>
        </w:rPr>
        <w:t xml:space="preserve"> de alcanzar un consenso sobre la responsabilidad de las empresas transnacionales en relación a los Derechos Humanos, </w:t>
      </w:r>
      <w:r w:rsidRPr="00517388">
        <w:rPr>
          <w:rFonts w:ascii="Arial" w:hAnsi="Arial" w:cs="Arial"/>
          <w:sz w:val="24"/>
          <w:szCs w:val="24"/>
        </w:rPr>
        <w:t xml:space="preserve">la Comisión </w:t>
      </w:r>
      <w:r w:rsidR="00AD7347" w:rsidRPr="00517388">
        <w:rPr>
          <w:rFonts w:ascii="Arial" w:hAnsi="Arial" w:cs="Arial"/>
          <w:sz w:val="24"/>
          <w:szCs w:val="24"/>
        </w:rPr>
        <w:t xml:space="preserve">solicitó al Secretario General de la ONU la designación de un </w:t>
      </w:r>
      <w:r w:rsidRPr="00517388">
        <w:rPr>
          <w:rFonts w:ascii="Arial" w:hAnsi="Arial" w:cs="Arial"/>
          <w:sz w:val="24"/>
          <w:szCs w:val="24"/>
        </w:rPr>
        <w:t>“</w:t>
      </w:r>
      <w:r w:rsidR="00AD7347" w:rsidRPr="00517388">
        <w:rPr>
          <w:rFonts w:ascii="Arial" w:hAnsi="Arial" w:cs="Arial"/>
          <w:sz w:val="24"/>
          <w:szCs w:val="24"/>
        </w:rPr>
        <w:t>Representante Especial</w:t>
      </w:r>
      <w:r w:rsidRPr="00517388">
        <w:rPr>
          <w:rFonts w:ascii="Arial" w:hAnsi="Arial" w:cs="Arial"/>
          <w:sz w:val="24"/>
          <w:szCs w:val="24"/>
        </w:rPr>
        <w:t xml:space="preserve">” </w:t>
      </w:r>
      <w:r w:rsidR="00AD7347" w:rsidRPr="00517388">
        <w:rPr>
          <w:rFonts w:ascii="Arial" w:hAnsi="Arial" w:cs="Arial"/>
          <w:sz w:val="24"/>
          <w:szCs w:val="24"/>
        </w:rPr>
        <w:t xml:space="preserve"> para la </w:t>
      </w:r>
      <w:r w:rsidRPr="00517388">
        <w:rPr>
          <w:rFonts w:ascii="Arial" w:hAnsi="Arial" w:cs="Arial"/>
          <w:sz w:val="24"/>
          <w:szCs w:val="24"/>
        </w:rPr>
        <w:t>dar tratamiento</w:t>
      </w:r>
      <w:r w:rsidR="00896045" w:rsidRPr="00517388">
        <w:rPr>
          <w:rFonts w:ascii="Arial" w:hAnsi="Arial" w:cs="Arial"/>
          <w:sz w:val="24"/>
          <w:szCs w:val="24"/>
        </w:rPr>
        <w:t xml:space="preserve"> a esa </w:t>
      </w:r>
      <w:r w:rsidR="00AD7347" w:rsidRPr="00517388">
        <w:rPr>
          <w:rFonts w:ascii="Arial" w:hAnsi="Arial" w:cs="Arial"/>
          <w:sz w:val="24"/>
          <w:szCs w:val="24"/>
        </w:rPr>
        <w:t>cuestión</w:t>
      </w:r>
      <w:r w:rsidR="00896045" w:rsidRPr="00517388">
        <w:rPr>
          <w:rFonts w:ascii="Arial" w:hAnsi="Arial" w:cs="Arial"/>
          <w:sz w:val="24"/>
          <w:szCs w:val="24"/>
        </w:rPr>
        <w:t xml:space="preserve">, </w:t>
      </w:r>
      <w:r w:rsidRPr="00517388">
        <w:rPr>
          <w:rFonts w:ascii="Arial" w:hAnsi="Arial" w:cs="Arial"/>
          <w:sz w:val="24"/>
          <w:szCs w:val="24"/>
        </w:rPr>
        <w:t xml:space="preserve">responsabilidad que recayó en </w:t>
      </w:r>
      <w:r w:rsidR="00AD7347" w:rsidRPr="00517388">
        <w:rPr>
          <w:rFonts w:ascii="Arial" w:hAnsi="Arial" w:cs="Arial"/>
          <w:sz w:val="24"/>
          <w:szCs w:val="24"/>
        </w:rPr>
        <w:t xml:space="preserve">John Ruggie, </w:t>
      </w:r>
      <w:r w:rsidRPr="00517388">
        <w:rPr>
          <w:rFonts w:ascii="Arial" w:hAnsi="Arial" w:cs="Arial"/>
          <w:sz w:val="24"/>
          <w:szCs w:val="24"/>
        </w:rPr>
        <w:t>profesor</w:t>
      </w:r>
      <w:r w:rsidR="00896045" w:rsidRPr="00517388">
        <w:rPr>
          <w:rFonts w:ascii="Arial" w:hAnsi="Arial" w:cs="Arial"/>
          <w:sz w:val="24"/>
          <w:szCs w:val="24"/>
        </w:rPr>
        <w:t xml:space="preserve"> de la Universidad de Harvard, </w:t>
      </w:r>
      <w:r w:rsidRPr="00517388">
        <w:rPr>
          <w:rFonts w:ascii="Arial" w:hAnsi="Arial" w:cs="Arial"/>
          <w:sz w:val="24"/>
          <w:szCs w:val="24"/>
        </w:rPr>
        <w:t xml:space="preserve">que al término de su encargo y luego de </w:t>
      </w:r>
      <w:r w:rsidR="00896045" w:rsidRPr="00517388">
        <w:rPr>
          <w:rFonts w:ascii="Arial" w:hAnsi="Arial" w:cs="Arial"/>
          <w:sz w:val="24"/>
          <w:szCs w:val="24"/>
        </w:rPr>
        <w:t xml:space="preserve">producir algunos informes relevantes, </w:t>
      </w:r>
      <w:r w:rsidRPr="00517388">
        <w:rPr>
          <w:rFonts w:ascii="Arial" w:hAnsi="Arial" w:cs="Arial"/>
          <w:sz w:val="24"/>
          <w:szCs w:val="24"/>
        </w:rPr>
        <w:t xml:space="preserve">propuso </w:t>
      </w:r>
      <w:r w:rsidR="00896045" w:rsidRPr="00517388">
        <w:rPr>
          <w:rFonts w:ascii="Arial" w:hAnsi="Arial" w:cs="Arial"/>
          <w:sz w:val="24"/>
          <w:szCs w:val="24"/>
        </w:rPr>
        <w:t xml:space="preserve">en 2008 </w:t>
      </w:r>
      <w:r w:rsidRPr="00517388">
        <w:rPr>
          <w:rFonts w:ascii="Arial" w:hAnsi="Arial" w:cs="Arial"/>
          <w:sz w:val="24"/>
          <w:szCs w:val="24"/>
        </w:rPr>
        <w:t>unos “</w:t>
      </w:r>
      <w:r w:rsidR="00AD7347" w:rsidRPr="00517388">
        <w:rPr>
          <w:rFonts w:ascii="Arial" w:hAnsi="Arial" w:cs="Arial"/>
          <w:sz w:val="24"/>
          <w:szCs w:val="24"/>
        </w:rPr>
        <w:t>Principios Rectores sobre las empresas y los derechos humanos: Puesta en práctica del marco de las Naciones Unidas para “proteger, respetar y remediar”</w:t>
      </w:r>
      <w:r w:rsidRPr="00517388">
        <w:rPr>
          <w:rFonts w:ascii="Arial" w:hAnsi="Arial" w:cs="Arial"/>
          <w:sz w:val="24"/>
          <w:szCs w:val="24"/>
        </w:rPr>
        <w:t>, conocidos como los “P</w:t>
      </w:r>
      <w:r w:rsidR="00AD7347" w:rsidRPr="00517388">
        <w:rPr>
          <w:rFonts w:ascii="Arial" w:hAnsi="Arial" w:cs="Arial"/>
          <w:sz w:val="24"/>
          <w:szCs w:val="24"/>
        </w:rPr>
        <w:t>rincipios Rectores</w:t>
      </w:r>
      <w:r w:rsidRPr="00517388">
        <w:rPr>
          <w:rFonts w:ascii="Arial" w:hAnsi="Arial" w:cs="Arial"/>
          <w:sz w:val="24"/>
          <w:szCs w:val="24"/>
        </w:rPr>
        <w:t xml:space="preserve">”, </w:t>
      </w:r>
      <w:r w:rsidR="00085AC3">
        <w:rPr>
          <w:rFonts w:ascii="Arial" w:hAnsi="Arial" w:cs="Arial"/>
          <w:sz w:val="24"/>
          <w:szCs w:val="24"/>
        </w:rPr>
        <w:t>ya referidos en el II.2.1 de esta contribución</w:t>
      </w:r>
      <w:r w:rsidR="000E23CC">
        <w:rPr>
          <w:rFonts w:ascii="Arial" w:hAnsi="Arial" w:cs="Arial"/>
          <w:sz w:val="24"/>
          <w:szCs w:val="24"/>
        </w:rPr>
        <w:t>.</w:t>
      </w:r>
    </w:p>
    <w:p w14:paraId="5337D7EA" w14:textId="68C8C7F9" w:rsidR="00896045" w:rsidRPr="00517388" w:rsidRDefault="000E23CC" w:rsidP="00896045">
      <w:pPr>
        <w:jc w:val="both"/>
        <w:rPr>
          <w:rFonts w:ascii="Arial" w:hAnsi="Arial" w:cs="Arial"/>
          <w:sz w:val="24"/>
          <w:szCs w:val="24"/>
        </w:rPr>
      </w:pPr>
      <w:r>
        <w:rPr>
          <w:rFonts w:ascii="Arial" w:hAnsi="Arial" w:cs="Arial"/>
          <w:sz w:val="24"/>
          <w:szCs w:val="24"/>
        </w:rPr>
        <w:t xml:space="preserve">El </w:t>
      </w:r>
      <w:r w:rsidR="002578BA" w:rsidRPr="00517388">
        <w:rPr>
          <w:rFonts w:ascii="Arial" w:hAnsi="Arial" w:cs="Arial"/>
          <w:sz w:val="24"/>
          <w:szCs w:val="24"/>
        </w:rPr>
        <w:t xml:space="preserve">proceso tuvo seguimiento mediante la creación de un Grupo de Trabajo </w:t>
      </w:r>
      <w:r w:rsidR="00896045" w:rsidRPr="00517388">
        <w:rPr>
          <w:rFonts w:ascii="Arial" w:hAnsi="Arial" w:cs="Arial"/>
          <w:sz w:val="24"/>
          <w:szCs w:val="24"/>
        </w:rPr>
        <w:t>por el Consejo de Derechos Humanos en 2011 sobre “L</w:t>
      </w:r>
      <w:r w:rsidR="00AD7347" w:rsidRPr="00517388">
        <w:rPr>
          <w:rFonts w:ascii="Arial" w:hAnsi="Arial" w:cs="Arial"/>
          <w:sz w:val="24"/>
          <w:szCs w:val="24"/>
        </w:rPr>
        <w:t>os derechos humanos y las empresas transnacionales y otras empresas</w:t>
      </w:r>
      <w:r w:rsidR="00896045" w:rsidRPr="00517388">
        <w:rPr>
          <w:rFonts w:ascii="Arial" w:hAnsi="Arial" w:cs="Arial"/>
          <w:sz w:val="24"/>
          <w:szCs w:val="24"/>
        </w:rPr>
        <w:t>”, que incluye la posibilidad de visitas a los países para desatar mecanismos de diálogo y efectuar recomendaciones específicas para los casos que se trate.</w:t>
      </w:r>
    </w:p>
    <w:p w14:paraId="17E27E00" w14:textId="5DF20392" w:rsidR="006530E7" w:rsidRPr="00517388" w:rsidRDefault="000E23CC" w:rsidP="00AB64B1">
      <w:pPr>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La preocupación básica </w:t>
      </w:r>
      <w:r w:rsidR="006530E7" w:rsidRPr="00517388">
        <w:rPr>
          <w:rFonts w:ascii="Arial" w:hAnsi="Arial" w:cs="Arial"/>
          <w:sz w:val="24"/>
          <w:szCs w:val="24"/>
        </w:rPr>
        <w:t xml:space="preserve">de la tarea de Ruggie fue la falta de </w:t>
      </w:r>
      <w:r w:rsidR="002C4DAB" w:rsidRPr="00517388">
        <w:rPr>
          <w:rFonts w:ascii="Arial" w:hAnsi="Arial" w:cs="Arial"/>
          <w:sz w:val="24"/>
          <w:szCs w:val="24"/>
        </w:rPr>
        <w:t xml:space="preserve">dilucidación de las </w:t>
      </w:r>
      <w:r w:rsidR="006530E7" w:rsidRPr="00517388">
        <w:rPr>
          <w:rFonts w:ascii="Arial" w:hAnsi="Arial" w:cs="Arial"/>
          <w:sz w:val="24"/>
          <w:szCs w:val="24"/>
        </w:rPr>
        <w:t>responsabilidades de las empresas</w:t>
      </w:r>
      <w:r w:rsidR="00896045" w:rsidRPr="00517388">
        <w:rPr>
          <w:rFonts w:ascii="Arial" w:hAnsi="Arial" w:cs="Arial"/>
          <w:sz w:val="24"/>
          <w:szCs w:val="24"/>
        </w:rPr>
        <w:t xml:space="preserve"> en la protección de </w:t>
      </w:r>
      <w:r w:rsidR="006530E7" w:rsidRPr="00517388">
        <w:rPr>
          <w:rFonts w:ascii="Arial" w:hAnsi="Arial" w:cs="Arial"/>
          <w:sz w:val="24"/>
          <w:szCs w:val="24"/>
        </w:rPr>
        <w:t xml:space="preserve">los </w:t>
      </w:r>
      <w:r w:rsidR="00896045" w:rsidRPr="00517388">
        <w:rPr>
          <w:rFonts w:ascii="Arial" w:hAnsi="Arial" w:cs="Arial"/>
          <w:sz w:val="24"/>
          <w:szCs w:val="24"/>
        </w:rPr>
        <w:t>D</w:t>
      </w:r>
      <w:r w:rsidR="002C4DAB" w:rsidRPr="00517388">
        <w:rPr>
          <w:rFonts w:ascii="Arial" w:hAnsi="Arial" w:cs="Arial"/>
          <w:sz w:val="24"/>
          <w:szCs w:val="24"/>
        </w:rPr>
        <w:t>DHH</w:t>
      </w:r>
      <w:r>
        <w:rPr>
          <w:rFonts w:ascii="Arial" w:hAnsi="Arial" w:cs="Arial"/>
          <w:sz w:val="24"/>
          <w:szCs w:val="24"/>
        </w:rPr>
        <w:t xml:space="preserve"> y la búsqueda de un consenso a ese respecto</w:t>
      </w:r>
      <w:r w:rsidR="00896045" w:rsidRPr="00517388">
        <w:rPr>
          <w:rFonts w:ascii="Arial" w:hAnsi="Arial" w:cs="Arial"/>
          <w:sz w:val="24"/>
          <w:szCs w:val="24"/>
        </w:rPr>
        <w:t xml:space="preserve">, para lo cual </w:t>
      </w:r>
      <w:r w:rsidR="002C4DAB" w:rsidRPr="00517388">
        <w:rPr>
          <w:rFonts w:ascii="Arial" w:hAnsi="Arial" w:cs="Arial"/>
          <w:sz w:val="24"/>
          <w:szCs w:val="24"/>
        </w:rPr>
        <w:t xml:space="preserve">el “representante especial” </w:t>
      </w:r>
      <w:r w:rsidR="00896045" w:rsidRPr="00517388">
        <w:rPr>
          <w:rFonts w:ascii="Arial" w:hAnsi="Arial" w:cs="Arial"/>
          <w:sz w:val="24"/>
          <w:szCs w:val="24"/>
        </w:rPr>
        <w:t xml:space="preserve">emplea un enfoque centrado en la </w:t>
      </w:r>
      <w:r w:rsidR="004A7746" w:rsidRPr="00517388">
        <w:rPr>
          <w:rFonts w:ascii="Arial" w:hAnsi="Arial" w:cs="Arial"/>
          <w:sz w:val="24"/>
          <w:szCs w:val="24"/>
        </w:rPr>
        <w:t>“</w:t>
      </w:r>
      <w:r w:rsidR="006530E7" w:rsidRPr="00517388">
        <w:rPr>
          <w:rFonts w:ascii="Arial" w:hAnsi="Arial" w:cs="Arial"/>
          <w:sz w:val="24"/>
          <w:szCs w:val="24"/>
        </w:rPr>
        <w:t>debida diligencia</w:t>
      </w:r>
      <w:r w:rsidR="004A7746" w:rsidRPr="00517388">
        <w:rPr>
          <w:rFonts w:ascii="Arial" w:hAnsi="Arial" w:cs="Arial"/>
          <w:sz w:val="24"/>
          <w:szCs w:val="24"/>
        </w:rPr>
        <w:t xml:space="preserve">”, </w:t>
      </w:r>
      <w:r w:rsidR="002C4DAB" w:rsidRPr="00517388">
        <w:rPr>
          <w:rFonts w:ascii="Arial" w:hAnsi="Arial" w:cs="Arial"/>
          <w:sz w:val="24"/>
          <w:szCs w:val="24"/>
        </w:rPr>
        <w:t xml:space="preserve">mediante el que </w:t>
      </w:r>
      <w:r w:rsidR="006530E7" w:rsidRPr="00517388">
        <w:rPr>
          <w:rFonts w:ascii="Arial" w:hAnsi="Arial" w:cs="Arial"/>
          <w:sz w:val="24"/>
          <w:szCs w:val="24"/>
        </w:rPr>
        <w:t>las empresas deben garantizar que sus actividades no tengan un impacto negativo sobre los derechos humanos</w:t>
      </w:r>
      <w:r w:rsidR="002C4DAB" w:rsidRPr="00517388">
        <w:rPr>
          <w:rFonts w:ascii="Arial" w:hAnsi="Arial" w:cs="Arial"/>
          <w:sz w:val="24"/>
          <w:szCs w:val="24"/>
        </w:rPr>
        <w:t>.</w:t>
      </w:r>
      <w:r w:rsidR="004A7746" w:rsidRPr="00517388">
        <w:rPr>
          <w:rStyle w:val="Refdenotaalpie"/>
          <w:rFonts w:ascii="Arial" w:hAnsi="Arial" w:cs="Arial"/>
          <w:sz w:val="24"/>
          <w:szCs w:val="24"/>
        </w:rPr>
        <w:footnoteReference w:id="19"/>
      </w:r>
    </w:p>
    <w:p w14:paraId="18B0CDC6" w14:textId="77777777" w:rsidR="00F623E6" w:rsidRPr="00517388" w:rsidRDefault="00F623E6" w:rsidP="00AB64B1">
      <w:pPr>
        <w:autoSpaceDE w:val="0"/>
        <w:autoSpaceDN w:val="0"/>
        <w:adjustRightInd w:val="0"/>
        <w:spacing w:after="0" w:line="240" w:lineRule="auto"/>
        <w:jc w:val="both"/>
        <w:rPr>
          <w:rFonts w:ascii="Arial" w:hAnsi="Arial" w:cs="Arial"/>
          <w:sz w:val="24"/>
          <w:szCs w:val="24"/>
        </w:rPr>
      </w:pPr>
    </w:p>
    <w:p w14:paraId="0E5F8A69" w14:textId="014423AA" w:rsidR="00F623E6" w:rsidRPr="00517388" w:rsidRDefault="00F623E6" w:rsidP="00F623E6">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El llamado informe Ruggie propone un </w:t>
      </w:r>
      <w:r w:rsidR="006309AC" w:rsidRPr="00517388">
        <w:rPr>
          <w:rFonts w:ascii="Arial" w:hAnsi="Arial" w:cs="Arial"/>
          <w:sz w:val="24"/>
          <w:szCs w:val="24"/>
        </w:rPr>
        <w:t>concepto de d</w:t>
      </w:r>
      <w:r w:rsidRPr="00517388">
        <w:rPr>
          <w:rFonts w:ascii="Arial" w:hAnsi="Arial" w:cs="Arial"/>
          <w:sz w:val="24"/>
          <w:szCs w:val="24"/>
        </w:rPr>
        <w:t>ebida diligencia</w:t>
      </w:r>
      <w:r w:rsidR="006309AC" w:rsidRPr="00517388">
        <w:rPr>
          <w:rFonts w:ascii="Arial" w:hAnsi="Arial" w:cs="Arial"/>
          <w:sz w:val="24"/>
          <w:szCs w:val="24"/>
        </w:rPr>
        <w:t xml:space="preserve"> como expresión de una </w:t>
      </w:r>
      <w:r w:rsidRPr="00517388">
        <w:rPr>
          <w:rFonts w:ascii="Arial" w:hAnsi="Arial" w:cs="Arial"/>
          <w:sz w:val="24"/>
          <w:szCs w:val="24"/>
        </w:rPr>
        <w:t xml:space="preserve">“obligación de no hacer”, </w:t>
      </w:r>
      <w:r w:rsidR="006309AC" w:rsidRPr="00517388">
        <w:rPr>
          <w:rFonts w:ascii="Arial" w:hAnsi="Arial" w:cs="Arial"/>
          <w:sz w:val="24"/>
          <w:szCs w:val="24"/>
        </w:rPr>
        <w:t xml:space="preserve">lo que significa que </w:t>
      </w:r>
      <w:r w:rsidRPr="00517388">
        <w:rPr>
          <w:rFonts w:ascii="Arial" w:hAnsi="Arial" w:cs="Arial"/>
          <w:sz w:val="24"/>
          <w:szCs w:val="24"/>
        </w:rPr>
        <w:t>las empresas debe</w:t>
      </w:r>
      <w:r w:rsidR="006309AC" w:rsidRPr="00517388">
        <w:rPr>
          <w:rFonts w:ascii="Arial" w:hAnsi="Arial" w:cs="Arial"/>
          <w:sz w:val="24"/>
          <w:szCs w:val="24"/>
        </w:rPr>
        <w:t>rán</w:t>
      </w:r>
      <w:r w:rsidRPr="00517388">
        <w:rPr>
          <w:rFonts w:ascii="Arial" w:hAnsi="Arial" w:cs="Arial"/>
          <w:sz w:val="24"/>
          <w:szCs w:val="24"/>
        </w:rPr>
        <w:t xml:space="preserve"> garantizar que sus actividades no tengan un impacto neg</w:t>
      </w:r>
      <w:r w:rsidR="006309AC" w:rsidRPr="00517388">
        <w:rPr>
          <w:rFonts w:ascii="Arial" w:hAnsi="Arial" w:cs="Arial"/>
          <w:sz w:val="24"/>
          <w:szCs w:val="24"/>
        </w:rPr>
        <w:t>ativo sobre los DDHH. Dicho de otro modo, los deberes de las</w:t>
      </w:r>
      <w:r w:rsidR="000E23CC">
        <w:rPr>
          <w:rFonts w:ascii="Arial" w:hAnsi="Arial" w:cs="Arial"/>
          <w:sz w:val="24"/>
          <w:szCs w:val="24"/>
        </w:rPr>
        <w:t xml:space="preserve"> empresas se limitan, según esta perspectiva</w:t>
      </w:r>
      <w:r w:rsidR="006309AC" w:rsidRPr="00517388">
        <w:rPr>
          <w:rFonts w:ascii="Arial" w:hAnsi="Arial" w:cs="Arial"/>
          <w:sz w:val="24"/>
          <w:szCs w:val="24"/>
        </w:rPr>
        <w:t xml:space="preserve">, en la </w:t>
      </w:r>
      <w:r w:rsidRPr="00517388">
        <w:rPr>
          <w:rFonts w:ascii="Arial" w:hAnsi="Arial" w:cs="Arial"/>
          <w:sz w:val="24"/>
          <w:szCs w:val="24"/>
        </w:rPr>
        <w:t>obligación de “respetar”</w:t>
      </w:r>
      <w:r w:rsidR="006309AC" w:rsidRPr="00517388">
        <w:rPr>
          <w:rFonts w:ascii="Arial" w:hAnsi="Arial" w:cs="Arial"/>
          <w:sz w:val="24"/>
          <w:szCs w:val="24"/>
        </w:rPr>
        <w:t xml:space="preserve"> los DDHH.</w:t>
      </w:r>
    </w:p>
    <w:p w14:paraId="34376260" w14:textId="77777777" w:rsidR="00F623E6" w:rsidRPr="00517388" w:rsidRDefault="00F623E6" w:rsidP="00F623E6">
      <w:pPr>
        <w:autoSpaceDE w:val="0"/>
        <w:autoSpaceDN w:val="0"/>
        <w:adjustRightInd w:val="0"/>
        <w:spacing w:after="0" w:line="240" w:lineRule="auto"/>
        <w:jc w:val="both"/>
        <w:rPr>
          <w:rFonts w:ascii="Arial" w:hAnsi="Arial" w:cs="Arial"/>
          <w:sz w:val="24"/>
          <w:szCs w:val="24"/>
        </w:rPr>
      </w:pPr>
    </w:p>
    <w:p w14:paraId="784DAA99" w14:textId="0F230A0E" w:rsidR="00F623E6" w:rsidRPr="00517388" w:rsidRDefault="00F623E6" w:rsidP="006309AC">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Para Bichiltz</w:t>
      </w:r>
      <w:r w:rsidRPr="00517388">
        <w:rPr>
          <w:rStyle w:val="Refdenotaalpie"/>
          <w:rFonts w:ascii="Arial" w:hAnsi="Arial" w:cs="Arial"/>
          <w:sz w:val="24"/>
          <w:szCs w:val="24"/>
        </w:rPr>
        <w:footnoteReference w:id="20"/>
      </w:r>
      <w:r w:rsidRPr="00517388">
        <w:rPr>
          <w:rFonts w:ascii="Arial" w:hAnsi="Arial" w:cs="Arial"/>
          <w:sz w:val="24"/>
          <w:szCs w:val="24"/>
        </w:rPr>
        <w:t xml:space="preserve">, </w:t>
      </w:r>
      <w:r w:rsidR="006309AC" w:rsidRPr="00517388">
        <w:rPr>
          <w:rFonts w:ascii="Arial" w:hAnsi="Arial" w:cs="Arial"/>
          <w:sz w:val="24"/>
          <w:szCs w:val="24"/>
        </w:rPr>
        <w:t>“l</w:t>
      </w:r>
      <w:r w:rsidRPr="00517388">
        <w:rPr>
          <w:rFonts w:ascii="Arial" w:hAnsi="Arial" w:cs="Arial"/>
          <w:sz w:val="24"/>
          <w:szCs w:val="24"/>
        </w:rPr>
        <w:t>a responsabilidad de respetar también incluye ‘no dañar’. Esto va más allá de una responsabilidad pasiva y puede implicar tomar medidas positivas</w:t>
      </w:r>
      <w:r w:rsidR="006309AC" w:rsidRPr="00517388">
        <w:rPr>
          <w:rFonts w:ascii="Arial" w:hAnsi="Arial" w:cs="Arial"/>
          <w:sz w:val="24"/>
          <w:szCs w:val="24"/>
        </w:rPr>
        <w:t>”, pero con un alcance muy limitado.</w:t>
      </w:r>
    </w:p>
    <w:p w14:paraId="213AEBE3" w14:textId="77777777" w:rsidR="00F623E6" w:rsidRPr="00517388" w:rsidRDefault="00F623E6" w:rsidP="00F623E6">
      <w:pPr>
        <w:autoSpaceDE w:val="0"/>
        <w:autoSpaceDN w:val="0"/>
        <w:adjustRightInd w:val="0"/>
        <w:spacing w:after="0" w:line="240" w:lineRule="auto"/>
        <w:jc w:val="both"/>
        <w:rPr>
          <w:rFonts w:ascii="Arial" w:hAnsi="Arial" w:cs="Arial"/>
          <w:sz w:val="24"/>
          <w:szCs w:val="24"/>
        </w:rPr>
      </w:pPr>
    </w:p>
    <w:p w14:paraId="768DDAF2" w14:textId="555AD498" w:rsidR="00F623E6" w:rsidRPr="00517388" w:rsidRDefault="00F623E6" w:rsidP="00F623E6">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Ruggie trata de </w:t>
      </w:r>
      <w:r w:rsidR="006309AC" w:rsidRPr="00517388">
        <w:rPr>
          <w:rFonts w:ascii="Arial" w:hAnsi="Arial" w:cs="Arial"/>
          <w:sz w:val="24"/>
          <w:szCs w:val="24"/>
        </w:rPr>
        <w:t xml:space="preserve">relativizar </w:t>
      </w:r>
      <w:r w:rsidRPr="00517388">
        <w:rPr>
          <w:rFonts w:ascii="Arial" w:hAnsi="Arial" w:cs="Arial"/>
          <w:sz w:val="24"/>
          <w:szCs w:val="24"/>
        </w:rPr>
        <w:t>esta severa crítica</w:t>
      </w:r>
      <w:r w:rsidR="006309AC" w:rsidRPr="00517388">
        <w:rPr>
          <w:rFonts w:ascii="Arial" w:hAnsi="Arial" w:cs="Arial"/>
          <w:sz w:val="24"/>
          <w:szCs w:val="24"/>
        </w:rPr>
        <w:t xml:space="preserve"> que se hace a su punto de vista, ya que </w:t>
      </w:r>
      <w:r w:rsidRPr="00517388">
        <w:rPr>
          <w:rFonts w:ascii="Arial" w:hAnsi="Arial" w:cs="Arial"/>
          <w:sz w:val="24"/>
          <w:szCs w:val="24"/>
        </w:rPr>
        <w:t>vincular el cumplimiento de los D</w:t>
      </w:r>
      <w:r w:rsidR="006309AC" w:rsidRPr="00517388">
        <w:rPr>
          <w:rFonts w:ascii="Arial" w:hAnsi="Arial" w:cs="Arial"/>
          <w:sz w:val="24"/>
          <w:szCs w:val="24"/>
        </w:rPr>
        <w:t>DHH</w:t>
      </w:r>
      <w:r w:rsidRPr="00517388">
        <w:rPr>
          <w:rFonts w:ascii="Arial" w:hAnsi="Arial" w:cs="Arial"/>
          <w:sz w:val="24"/>
          <w:szCs w:val="24"/>
        </w:rPr>
        <w:t xml:space="preserve"> a una mera obligación de no hacer,</w:t>
      </w:r>
      <w:r w:rsidR="006309AC" w:rsidRPr="00517388">
        <w:rPr>
          <w:rFonts w:ascii="Arial" w:hAnsi="Arial" w:cs="Arial"/>
          <w:sz w:val="24"/>
          <w:szCs w:val="24"/>
        </w:rPr>
        <w:t xml:space="preserve"> parece poco. Por ello sostiene que</w:t>
      </w:r>
      <w:r w:rsidRPr="00517388">
        <w:rPr>
          <w:rFonts w:ascii="Arial" w:hAnsi="Arial" w:cs="Arial"/>
          <w:sz w:val="24"/>
          <w:szCs w:val="24"/>
        </w:rPr>
        <w:t xml:space="preserve"> puede requerirse </w:t>
      </w:r>
      <w:r w:rsidR="006309AC" w:rsidRPr="00517388">
        <w:rPr>
          <w:rFonts w:ascii="Arial" w:hAnsi="Arial" w:cs="Arial"/>
          <w:sz w:val="24"/>
          <w:szCs w:val="24"/>
        </w:rPr>
        <w:t xml:space="preserve">a </w:t>
      </w:r>
      <w:r w:rsidRPr="00517388">
        <w:rPr>
          <w:rFonts w:ascii="Arial" w:hAnsi="Arial" w:cs="Arial"/>
          <w:sz w:val="24"/>
          <w:szCs w:val="24"/>
        </w:rPr>
        <w:t>las empresas</w:t>
      </w:r>
      <w:r w:rsidR="006309AC" w:rsidRPr="00517388">
        <w:rPr>
          <w:rFonts w:ascii="Arial" w:hAnsi="Arial" w:cs="Arial"/>
          <w:sz w:val="24"/>
          <w:szCs w:val="24"/>
        </w:rPr>
        <w:t xml:space="preserve"> </w:t>
      </w:r>
      <w:r w:rsidRPr="00517388">
        <w:rPr>
          <w:rFonts w:ascii="Arial" w:hAnsi="Arial" w:cs="Arial"/>
          <w:sz w:val="24"/>
          <w:szCs w:val="24"/>
        </w:rPr>
        <w:t>medidas pos</w:t>
      </w:r>
      <w:r w:rsidR="006309AC" w:rsidRPr="00517388">
        <w:rPr>
          <w:rFonts w:ascii="Arial" w:hAnsi="Arial" w:cs="Arial"/>
          <w:sz w:val="24"/>
          <w:szCs w:val="24"/>
        </w:rPr>
        <w:t xml:space="preserve">itivas para garantir que no se afecten </w:t>
      </w:r>
      <w:r w:rsidRPr="00517388">
        <w:rPr>
          <w:rFonts w:ascii="Arial" w:hAnsi="Arial" w:cs="Arial"/>
          <w:sz w:val="24"/>
          <w:szCs w:val="24"/>
        </w:rPr>
        <w:t xml:space="preserve">los derechos de las personas, </w:t>
      </w:r>
      <w:r w:rsidR="006309AC" w:rsidRPr="00517388">
        <w:rPr>
          <w:rFonts w:ascii="Arial" w:hAnsi="Arial" w:cs="Arial"/>
          <w:sz w:val="24"/>
          <w:szCs w:val="24"/>
        </w:rPr>
        <w:t>y en el informe ejemplifica con el caso d</w:t>
      </w:r>
      <w:r w:rsidRPr="00517388">
        <w:rPr>
          <w:rFonts w:ascii="Arial" w:hAnsi="Arial" w:cs="Arial"/>
          <w:sz w:val="24"/>
          <w:szCs w:val="24"/>
        </w:rPr>
        <w:t>e la violación del derec</w:t>
      </w:r>
      <w:r w:rsidR="006309AC" w:rsidRPr="00517388">
        <w:rPr>
          <w:rFonts w:ascii="Arial" w:hAnsi="Arial" w:cs="Arial"/>
          <w:sz w:val="24"/>
          <w:szCs w:val="24"/>
        </w:rPr>
        <w:t>ho a la igualdad a través de prá</w:t>
      </w:r>
      <w:r w:rsidRPr="00517388">
        <w:rPr>
          <w:rFonts w:ascii="Arial" w:hAnsi="Arial" w:cs="Arial"/>
          <w:sz w:val="24"/>
          <w:szCs w:val="24"/>
        </w:rPr>
        <w:t>cticas discriminatorias</w:t>
      </w:r>
      <w:r w:rsidR="00264B56" w:rsidRPr="00517388">
        <w:rPr>
          <w:rFonts w:ascii="Arial" w:hAnsi="Arial" w:cs="Arial"/>
          <w:sz w:val="24"/>
          <w:szCs w:val="24"/>
        </w:rPr>
        <w:t xml:space="preserve">: </w:t>
      </w:r>
      <w:r w:rsidRPr="00517388">
        <w:rPr>
          <w:rFonts w:ascii="Arial" w:hAnsi="Arial" w:cs="Arial"/>
          <w:sz w:val="24"/>
          <w:szCs w:val="24"/>
        </w:rPr>
        <w:t xml:space="preserve">las obligaciones positivas no estarían formuladas de manera expresa, </w:t>
      </w:r>
      <w:r w:rsidR="00264B56" w:rsidRPr="00517388">
        <w:rPr>
          <w:rFonts w:ascii="Arial" w:hAnsi="Arial" w:cs="Arial"/>
          <w:sz w:val="24"/>
          <w:szCs w:val="24"/>
        </w:rPr>
        <w:t xml:space="preserve">pero no obstante </w:t>
      </w:r>
      <w:r w:rsidRPr="00517388">
        <w:rPr>
          <w:rFonts w:ascii="Arial" w:hAnsi="Arial" w:cs="Arial"/>
          <w:sz w:val="24"/>
          <w:szCs w:val="24"/>
        </w:rPr>
        <w:t>serían un corolario del deber de proteger a las personas de las violaciones a sus derechos.</w:t>
      </w:r>
    </w:p>
    <w:p w14:paraId="7A06A841" w14:textId="77777777" w:rsidR="00B626B0" w:rsidRPr="00517388" w:rsidRDefault="00B626B0" w:rsidP="00F623E6">
      <w:pPr>
        <w:autoSpaceDE w:val="0"/>
        <w:autoSpaceDN w:val="0"/>
        <w:adjustRightInd w:val="0"/>
        <w:spacing w:after="0" w:line="240" w:lineRule="auto"/>
        <w:jc w:val="both"/>
        <w:rPr>
          <w:rFonts w:ascii="Arial" w:hAnsi="Arial" w:cs="Arial"/>
          <w:sz w:val="24"/>
          <w:szCs w:val="24"/>
        </w:rPr>
      </w:pPr>
    </w:p>
    <w:p w14:paraId="35BC0D27" w14:textId="0496EF68" w:rsidR="00AD7347" w:rsidRPr="00517388" w:rsidRDefault="00264B56" w:rsidP="00AB64B1">
      <w:pPr>
        <w:jc w:val="both"/>
        <w:rPr>
          <w:rFonts w:ascii="Arial" w:hAnsi="Arial" w:cs="Arial"/>
          <w:sz w:val="24"/>
          <w:szCs w:val="24"/>
        </w:rPr>
      </w:pPr>
      <w:r w:rsidRPr="00517388">
        <w:rPr>
          <w:rFonts w:ascii="Arial" w:hAnsi="Arial" w:cs="Arial"/>
          <w:sz w:val="24"/>
          <w:szCs w:val="24"/>
        </w:rPr>
        <w:lastRenderedPageBreak/>
        <w:t>Más adelante en el tiempo  – pero como parte de e</w:t>
      </w:r>
      <w:r w:rsidR="004A7746" w:rsidRPr="00517388">
        <w:rPr>
          <w:rFonts w:ascii="Arial" w:hAnsi="Arial" w:cs="Arial"/>
          <w:sz w:val="24"/>
          <w:szCs w:val="24"/>
        </w:rPr>
        <w:t>ste proceso</w:t>
      </w:r>
      <w:r w:rsidR="00B626B0" w:rsidRPr="00517388">
        <w:rPr>
          <w:rFonts w:ascii="Arial" w:hAnsi="Arial" w:cs="Arial"/>
          <w:sz w:val="24"/>
          <w:szCs w:val="24"/>
        </w:rPr>
        <w:t xml:space="preserve"> de construcción de un instrumento vinculante</w:t>
      </w:r>
      <w:r w:rsidR="004A7746" w:rsidRPr="00517388">
        <w:rPr>
          <w:rFonts w:ascii="Arial" w:hAnsi="Arial" w:cs="Arial"/>
          <w:sz w:val="24"/>
          <w:szCs w:val="24"/>
        </w:rPr>
        <w:t xml:space="preserve"> </w:t>
      </w:r>
      <w:r w:rsidRPr="00517388">
        <w:rPr>
          <w:rFonts w:ascii="Arial" w:hAnsi="Arial" w:cs="Arial"/>
          <w:sz w:val="24"/>
          <w:szCs w:val="24"/>
        </w:rPr>
        <w:t xml:space="preserve">– aparece la iniciativa de países como </w:t>
      </w:r>
      <w:r w:rsidR="004A7746" w:rsidRPr="00517388">
        <w:rPr>
          <w:rFonts w:ascii="Arial" w:hAnsi="Arial" w:cs="Arial"/>
          <w:sz w:val="24"/>
          <w:szCs w:val="24"/>
        </w:rPr>
        <w:t xml:space="preserve">Ecuador y </w:t>
      </w:r>
      <w:r w:rsidR="00AD7347" w:rsidRPr="00517388">
        <w:rPr>
          <w:rFonts w:ascii="Arial" w:hAnsi="Arial" w:cs="Arial"/>
          <w:sz w:val="24"/>
          <w:szCs w:val="24"/>
        </w:rPr>
        <w:t>Sudáfrica</w:t>
      </w:r>
      <w:r w:rsidR="004A7746" w:rsidRPr="00517388">
        <w:rPr>
          <w:rFonts w:ascii="Arial" w:hAnsi="Arial" w:cs="Arial"/>
          <w:sz w:val="24"/>
          <w:szCs w:val="24"/>
        </w:rPr>
        <w:t>,</w:t>
      </w:r>
      <w:r w:rsidRPr="00517388">
        <w:rPr>
          <w:rFonts w:ascii="Arial" w:hAnsi="Arial" w:cs="Arial"/>
          <w:sz w:val="24"/>
          <w:szCs w:val="24"/>
        </w:rPr>
        <w:t xml:space="preserve"> sostenida </w:t>
      </w:r>
      <w:r w:rsidR="004A7746" w:rsidRPr="00517388">
        <w:rPr>
          <w:rFonts w:ascii="Arial" w:hAnsi="Arial" w:cs="Arial"/>
          <w:sz w:val="24"/>
          <w:szCs w:val="24"/>
        </w:rPr>
        <w:t xml:space="preserve">por </w:t>
      </w:r>
      <w:r w:rsidR="00AD7347" w:rsidRPr="00517388">
        <w:rPr>
          <w:rFonts w:ascii="Arial" w:hAnsi="Arial" w:cs="Arial"/>
          <w:sz w:val="24"/>
          <w:szCs w:val="24"/>
        </w:rPr>
        <w:t>diversas organizaciones de la sociedad civil</w:t>
      </w:r>
      <w:r w:rsidRPr="00517388">
        <w:rPr>
          <w:rFonts w:ascii="Arial" w:hAnsi="Arial" w:cs="Arial"/>
          <w:sz w:val="24"/>
          <w:szCs w:val="24"/>
        </w:rPr>
        <w:t xml:space="preserve">, que tiende a </w:t>
      </w:r>
      <w:r w:rsidR="004A7746" w:rsidRPr="00517388">
        <w:rPr>
          <w:rFonts w:ascii="Arial" w:hAnsi="Arial" w:cs="Arial"/>
          <w:sz w:val="24"/>
          <w:szCs w:val="24"/>
        </w:rPr>
        <w:t xml:space="preserve">la </w:t>
      </w:r>
      <w:r w:rsidR="00AD7347" w:rsidRPr="00517388">
        <w:rPr>
          <w:rFonts w:ascii="Arial" w:hAnsi="Arial" w:cs="Arial"/>
          <w:sz w:val="24"/>
          <w:szCs w:val="24"/>
        </w:rPr>
        <w:t xml:space="preserve">elaboración de un instrumento </w:t>
      </w:r>
      <w:r w:rsidR="004A7746" w:rsidRPr="00517388">
        <w:rPr>
          <w:rFonts w:ascii="Arial" w:hAnsi="Arial" w:cs="Arial"/>
          <w:sz w:val="24"/>
          <w:szCs w:val="24"/>
        </w:rPr>
        <w:t xml:space="preserve">que fuera directa y definitivamente </w:t>
      </w:r>
      <w:r w:rsidRPr="00517388">
        <w:rPr>
          <w:rFonts w:ascii="Arial" w:hAnsi="Arial" w:cs="Arial"/>
          <w:sz w:val="24"/>
          <w:szCs w:val="24"/>
        </w:rPr>
        <w:t xml:space="preserve">vinculante para reglar la actividad </w:t>
      </w:r>
      <w:r w:rsidR="00AD7347" w:rsidRPr="00517388">
        <w:rPr>
          <w:rFonts w:ascii="Arial" w:hAnsi="Arial" w:cs="Arial"/>
          <w:sz w:val="24"/>
          <w:szCs w:val="24"/>
        </w:rPr>
        <w:t>de las empresas transnacionales</w:t>
      </w:r>
      <w:r w:rsidRPr="00517388">
        <w:rPr>
          <w:rFonts w:ascii="Arial" w:hAnsi="Arial" w:cs="Arial"/>
          <w:sz w:val="24"/>
          <w:szCs w:val="24"/>
        </w:rPr>
        <w:t>, proporcionando “</w:t>
      </w:r>
      <w:r w:rsidR="00AD7347" w:rsidRPr="000E23CC">
        <w:rPr>
          <w:rFonts w:ascii="Arial" w:hAnsi="Arial" w:cs="Arial"/>
          <w:i/>
          <w:sz w:val="24"/>
          <w:szCs w:val="24"/>
        </w:rPr>
        <w:t>protección, justicia y reparaciones adecuadas a las víctimas de abusos contra los derechos humanos</w:t>
      </w:r>
      <w:r w:rsidRPr="00517388">
        <w:rPr>
          <w:rFonts w:ascii="Arial" w:hAnsi="Arial" w:cs="Arial"/>
          <w:sz w:val="24"/>
          <w:szCs w:val="24"/>
        </w:rPr>
        <w:t>”, según proclama uno de los documentos base de la propuesta.</w:t>
      </w:r>
    </w:p>
    <w:p w14:paraId="18FB4324" w14:textId="77777777" w:rsidR="008F5423" w:rsidRPr="00517388" w:rsidRDefault="004A7746" w:rsidP="00AB64B1">
      <w:pPr>
        <w:jc w:val="both"/>
        <w:rPr>
          <w:rFonts w:ascii="Arial" w:hAnsi="Arial" w:cs="Arial"/>
          <w:sz w:val="24"/>
          <w:szCs w:val="24"/>
        </w:rPr>
      </w:pPr>
      <w:r w:rsidRPr="00517388">
        <w:rPr>
          <w:rFonts w:ascii="Arial" w:hAnsi="Arial" w:cs="Arial"/>
          <w:sz w:val="24"/>
          <w:szCs w:val="24"/>
        </w:rPr>
        <w:t xml:space="preserve">Por Resolución 26/9, del 26 de junio de 2014, </w:t>
      </w:r>
      <w:r w:rsidR="00AD7347" w:rsidRPr="00517388">
        <w:rPr>
          <w:rFonts w:ascii="Arial" w:hAnsi="Arial" w:cs="Arial"/>
          <w:sz w:val="24"/>
          <w:szCs w:val="24"/>
        </w:rPr>
        <w:t xml:space="preserve">el Consejo de Derechos Humanos </w:t>
      </w:r>
      <w:r w:rsidRPr="00517388">
        <w:rPr>
          <w:rFonts w:ascii="Arial" w:hAnsi="Arial" w:cs="Arial"/>
          <w:sz w:val="24"/>
          <w:szCs w:val="24"/>
        </w:rPr>
        <w:t xml:space="preserve">dispuso establecer </w:t>
      </w:r>
      <w:r w:rsidRPr="00517388">
        <w:rPr>
          <w:rFonts w:ascii="Arial" w:hAnsi="Arial" w:cs="Arial"/>
          <w:i/>
          <w:sz w:val="24"/>
          <w:szCs w:val="24"/>
        </w:rPr>
        <w:t>“</w:t>
      </w:r>
      <w:r w:rsidR="00AD7347" w:rsidRPr="00517388">
        <w:rPr>
          <w:rFonts w:ascii="Arial" w:hAnsi="Arial" w:cs="Arial"/>
          <w:i/>
          <w:sz w:val="24"/>
          <w:szCs w:val="24"/>
        </w:rPr>
        <w:t>un grupo de trabajo intergubernamental de composición abierta sobre las empresas transnacionales y otras empresas con respecto a los derechos humanos, cuyo mandato será elaborar un instrumento jurídicamente vinculante para regular las actividades de las empresas transnacionales y otras empresas en el derecho internacional de los derechos humanos”</w:t>
      </w:r>
      <w:r w:rsidR="00AD7347" w:rsidRPr="00517388">
        <w:rPr>
          <w:rFonts w:ascii="Arial" w:hAnsi="Arial" w:cs="Arial"/>
          <w:sz w:val="24"/>
          <w:szCs w:val="24"/>
        </w:rPr>
        <w:t xml:space="preserve">. </w:t>
      </w:r>
    </w:p>
    <w:p w14:paraId="733AA13D" w14:textId="000E5E60" w:rsidR="008F5423" w:rsidRPr="00517388" w:rsidRDefault="008F5423" w:rsidP="000E23CC">
      <w:pPr>
        <w:jc w:val="both"/>
        <w:rPr>
          <w:rFonts w:ascii="Arial" w:hAnsi="Arial" w:cs="Arial"/>
        </w:rPr>
      </w:pPr>
      <w:r w:rsidRPr="00517388">
        <w:rPr>
          <w:rFonts w:ascii="Arial" w:hAnsi="Arial" w:cs="Arial"/>
          <w:sz w:val="24"/>
          <w:szCs w:val="24"/>
        </w:rPr>
        <w:t xml:space="preserve">La tarea se encomendó a un grupo de “Composición Abierta” </w:t>
      </w:r>
      <w:r w:rsidRPr="000E23CC">
        <w:rPr>
          <w:rFonts w:ascii="Arial" w:hAnsi="Arial" w:cs="Arial"/>
          <w:sz w:val="24"/>
          <w:szCs w:val="24"/>
        </w:rPr>
        <w:t>(</w:t>
      </w:r>
      <w:r w:rsidRPr="000E23CC">
        <w:rPr>
          <w:rFonts w:ascii="Arial" w:hAnsi="Arial" w:cs="Arial"/>
          <w:iCs/>
          <w:sz w:val="24"/>
          <w:szCs w:val="24"/>
        </w:rPr>
        <w:t>Open-ended Intergovernmental Working Group, OEIGWG)</w:t>
      </w:r>
      <w:r w:rsidR="000E23CC">
        <w:rPr>
          <w:rFonts w:ascii="Arial" w:hAnsi="Arial" w:cs="Arial"/>
          <w:iCs/>
          <w:sz w:val="24"/>
          <w:szCs w:val="24"/>
        </w:rPr>
        <w:t>.</w:t>
      </w:r>
    </w:p>
    <w:p w14:paraId="2B48942D" w14:textId="10F4F253" w:rsidR="008F5423" w:rsidRPr="00517388" w:rsidRDefault="008B36DB" w:rsidP="00AB64B1">
      <w:pPr>
        <w:pStyle w:val="Default"/>
        <w:jc w:val="both"/>
        <w:rPr>
          <w:rFonts w:ascii="Arial" w:hAnsi="Arial" w:cs="Arial"/>
        </w:rPr>
      </w:pPr>
      <w:r w:rsidRPr="00517388">
        <w:rPr>
          <w:rFonts w:ascii="Arial" w:hAnsi="Arial" w:cs="Arial"/>
        </w:rPr>
        <w:t>La obligación de debida diligencia está largamente desarrollada en el art. 6º del segundo borrador de tratado vinculante</w:t>
      </w:r>
      <w:r w:rsidRPr="00517388">
        <w:rPr>
          <w:rStyle w:val="Refdenotaalpie"/>
          <w:rFonts w:ascii="Arial" w:hAnsi="Arial" w:cs="Arial"/>
        </w:rPr>
        <w:footnoteReference w:id="21"/>
      </w:r>
      <w:r w:rsidRPr="00517388">
        <w:rPr>
          <w:rFonts w:ascii="Arial" w:hAnsi="Arial" w:cs="Arial"/>
        </w:rPr>
        <w:t xml:space="preserve"> en términos de identificar, monitorear tomar medidas para prevenir,</w:t>
      </w:r>
      <w:r w:rsidR="00F52B41" w:rsidRPr="00517388">
        <w:rPr>
          <w:rFonts w:ascii="Arial" w:hAnsi="Arial" w:cs="Arial"/>
        </w:rPr>
        <w:t xml:space="preserve"> informar, consultar, etc.</w:t>
      </w:r>
    </w:p>
    <w:p w14:paraId="1A69554C" w14:textId="77777777" w:rsidR="008F5423" w:rsidRPr="00517388" w:rsidRDefault="008F5423" w:rsidP="00AB64B1">
      <w:pPr>
        <w:pStyle w:val="Default"/>
        <w:jc w:val="both"/>
        <w:rPr>
          <w:rFonts w:ascii="Arial" w:hAnsi="Arial" w:cs="Arial"/>
        </w:rPr>
      </w:pPr>
    </w:p>
    <w:p w14:paraId="55F9FB02" w14:textId="6175D00C" w:rsidR="008F5423" w:rsidRPr="00517388" w:rsidRDefault="00F52B41" w:rsidP="00AB64B1">
      <w:pPr>
        <w:pStyle w:val="Default"/>
        <w:jc w:val="both"/>
        <w:rPr>
          <w:rFonts w:ascii="Arial" w:hAnsi="Arial" w:cs="Arial"/>
        </w:rPr>
      </w:pPr>
      <w:r w:rsidRPr="00517388">
        <w:rPr>
          <w:rFonts w:ascii="Arial" w:hAnsi="Arial" w:cs="Arial"/>
        </w:rPr>
        <w:t>Así definida la debida diligencia como obligación que los Estados deberían imputar a las empresas, el art. 8.8 fija el tipo de responsabilidad por incumplir esos estándares:</w:t>
      </w:r>
    </w:p>
    <w:p w14:paraId="7FBB4674" w14:textId="77777777" w:rsidR="00F52B41" w:rsidRPr="00517388" w:rsidRDefault="00F52B41" w:rsidP="00AB64B1">
      <w:pPr>
        <w:pStyle w:val="Default"/>
        <w:jc w:val="both"/>
        <w:rPr>
          <w:rFonts w:ascii="Arial" w:hAnsi="Arial" w:cs="Arial"/>
        </w:rPr>
      </w:pPr>
    </w:p>
    <w:p w14:paraId="4E8AD823" w14:textId="6A9084A3" w:rsidR="00F52B41" w:rsidRPr="000E23CC" w:rsidRDefault="00F52B41" w:rsidP="00F52B41">
      <w:pPr>
        <w:autoSpaceDE w:val="0"/>
        <w:autoSpaceDN w:val="0"/>
        <w:adjustRightInd w:val="0"/>
        <w:spacing w:after="0" w:line="240" w:lineRule="auto"/>
        <w:ind w:left="567" w:right="566"/>
        <w:jc w:val="both"/>
        <w:rPr>
          <w:rFonts w:ascii="Arial" w:hAnsi="Arial" w:cs="Arial"/>
          <w:sz w:val="24"/>
          <w:szCs w:val="24"/>
        </w:rPr>
      </w:pPr>
      <w:r w:rsidRPr="000E23CC">
        <w:rPr>
          <w:rFonts w:ascii="Arial" w:hAnsi="Arial" w:cs="Arial"/>
          <w:i/>
          <w:sz w:val="24"/>
          <w:szCs w:val="24"/>
        </w:rPr>
        <w:t xml:space="preserve">La diligencia debida en materia de derechos humanos </w:t>
      </w:r>
      <w:r w:rsidRPr="000E23CC">
        <w:rPr>
          <w:rFonts w:ascii="Arial" w:hAnsi="Arial" w:cs="Arial"/>
          <w:b/>
          <w:i/>
          <w:sz w:val="24"/>
          <w:szCs w:val="24"/>
        </w:rPr>
        <w:t>no absolverá automáticamente</w:t>
      </w:r>
      <w:r w:rsidRPr="000E23CC">
        <w:rPr>
          <w:rFonts w:ascii="Arial" w:hAnsi="Arial" w:cs="Arial"/>
          <w:i/>
          <w:sz w:val="24"/>
          <w:szCs w:val="24"/>
        </w:rPr>
        <w:t xml:space="preserve"> a una persona física o jurídica que desarrolla actividades comerciales de la responsabilidad por haber causado o contribuir a causar abusos de los derechos humanos o por haber omitido prevenir tales abusos por parte de una persona física o jurídica como se indica en el artículo 8.7. </w:t>
      </w:r>
      <w:r w:rsidRPr="000E23CC">
        <w:rPr>
          <w:rFonts w:ascii="Arial" w:hAnsi="Arial" w:cs="Arial"/>
          <w:b/>
          <w:i/>
          <w:sz w:val="24"/>
          <w:szCs w:val="24"/>
        </w:rPr>
        <w:t>El tribunal u otra autoridad competente decidirá sobre la responsabilidad de tales entidades tras haber examinado el cumplimiento con los estándares aplicables referidos a la diligencia debida en materia de derechos humanos</w:t>
      </w:r>
      <w:r w:rsidR="000E23CC">
        <w:rPr>
          <w:rFonts w:ascii="Arial" w:hAnsi="Arial" w:cs="Arial"/>
          <w:b/>
          <w:i/>
          <w:sz w:val="24"/>
          <w:szCs w:val="24"/>
        </w:rPr>
        <w:t xml:space="preserve"> </w:t>
      </w:r>
      <w:r w:rsidR="000E23CC">
        <w:rPr>
          <w:rFonts w:ascii="Arial" w:hAnsi="Arial" w:cs="Arial"/>
          <w:sz w:val="24"/>
          <w:szCs w:val="24"/>
        </w:rPr>
        <w:t>(destacado nuestro)</w:t>
      </w:r>
    </w:p>
    <w:p w14:paraId="6BD354B3" w14:textId="77777777" w:rsidR="00F52B41" w:rsidRPr="000E23CC" w:rsidRDefault="00F52B41" w:rsidP="00F52B41">
      <w:pPr>
        <w:autoSpaceDE w:val="0"/>
        <w:autoSpaceDN w:val="0"/>
        <w:adjustRightInd w:val="0"/>
        <w:spacing w:after="0" w:line="240" w:lineRule="auto"/>
        <w:ind w:right="-1"/>
        <w:jc w:val="both"/>
        <w:rPr>
          <w:rFonts w:ascii="Arial" w:hAnsi="Arial" w:cs="Arial"/>
          <w:i/>
          <w:sz w:val="24"/>
          <w:szCs w:val="24"/>
        </w:rPr>
      </w:pPr>
    </w:p>
    <w:p w14:paraId="453D634A" w14:textId="77777777" w:rsidR="000E23CC" w:rsidRDefault="003437D8" w:rsidP="00F52B41">
      <w:pPr>
        <w:autoSpaceDE w:val="0"/>
        <w:autoSpaceDN w:val="0"/>
        <w:adjustRightInd w:val="0"/>
        <w:spacing w:after="0" w:line="240" w:lineRule="auto"/>
        <w:ind w:right="-1"/>
        <w:jc w:val="both"/>
        <w:rPr>
          <w:rFonts w:ascii="Arial" w:hAnsi="Arial" w:cs="Arial"/>
          <w:sz w:val="24"/>
          <w:szCs w:val="24"/>
        </w:rPr>
      </w:pPr>
      <w:r w:rsidRPr="00517388">
        <w:rPr>
          <w:rFonts w:ascii="Arial" w:hAnsi="Arial" w:cs="Arial"/>
          <w:sz w:val="24"/>
          <w:szCs w:val="24"/>
        </w:rPr>
        <w:t xml:space="preserve">La falta de automaticidad de la debida diligencia para exonerar de responsabilidad a las empresas ha sido interpretada en general como un avance en la reciente discusión todavía en curso en las Naciones Unidas. </w:t>
      </w:r>
    </w:p>
    <w:p w14:paraId="0EA76028" w14:textId="77777777" w:rsidR="000E23CC" w:rsidRDefault="000E23CC" w:rsidP="00F52B41">
      <w:pPr>
        <w:autoSpaceDE w:val="0"/>
        <w:autoSpaceDN w:val="0"/>
        <w:adjustRightInd w:val="0"/>
        <w:spacing w:after="0" w:line="240" w:lineRule="auto"/>
        <w:ind w:right="-1"/>
        <w:jc w:val="both"/>
        <w:rPr>
          <w:rFonts w:ascii="Arial" w:hAnsi="Arial" w:cs="Arial"/>
          <w:sz w:val="24"/>
          <w:szCs w:val="24"/>
        </w:rPr>
      </w:pPr>
    </w:p>
    <w:p w14:paraId="1BACC52C" w14:textId="0386C39C" w:rsidR="003437D8" w:rsidRPr="00517388" w:rsidRDefault="000E23CC" w:rsidP="00F52B41">
      <w:pPr>
        <w:autoSpaceDE w:val="0"/>
        <w:autoSpaceDN w:val="0"/>
        <w:adjustRightInd w:val="0"/>
        <w:spacing w:after="0" w:line="240" w:lineRule="auto"/>
        <w:ind w:right="-1"/>
        <w:jc w:val="both"/>
        <w:rPr>
          <w:rFonts w:ascii="Arial" w:hAnsi="Arial" w:cs="Arial"/>
          <w:sz w:val="24"/>
          <w:szCs w:val="24"/>
        </w:rPr>
      </w:pPr>
      <w:r>
        <w:rPr>
          <w:rFonts w:ascii="Arial" w:hAnsi="Arial" w:cs="Arial"/>
          <w:sz w:val="24"/>
          <w:szCs w:val="24"/>
        </w:rPr>
        <w:t xml:space="preserve">Sin </w:t>
      </w:r>
      <w:r w:rsidR="003437D8" w:rsidRPr="00517388">
        <w:rPr>
          <w:rFonts w:ascii="Arial" w:hAnsi="Arial" w:cs="Arial"/>
          <w:sz w:val="24"/>
          <w:szCs w:val="24"/>
        </w:rPr>
        <w:t>embargo, a contrario, puede leerse que si bien no hay automaticidad, puede no obstante haber exoneración con base al criterio de una debida d</w:t>
      </w:r>
      <w:r>
        <w:rPr>
          <w:rFonts w:ascii="Arial" w:hAnsi="Arial" w:cs="Arial"/>
          <w:sz w:val="24"/>
          <w:szCs w:val="24"/>
        </w:rPr>
        <w:t>iligencia correctamente cumplida</w:t>
      </w:r>
      <w:r w:rsidR="003437D8" w:rsidRPr="00517388">
        <w:rPr>
          <w:rFonts w:ascii="Arial" w:hAnsi="Arial" w:cs="Arial"/>
          <w:sz w:val="24"/>
          <w:szCs w:val="24"/>
        </w:rPr>
        <w:t xml:space="preserve"> y demostrada. En este ejercicio de la sospecha, la empresa solo tendría l</w:t>
      </w:r>
      <w:r>
        <w:rPr>
          <w:rFonts w:ascii="Arial" w:hAnsi="Arial" w:cs="Arial"/>
          <w:sz w:val="24"/>
          <w:szCs w:val="24"/>
        </w:rPr>
        <w:t>a carga de demostrar que cumplió con la debida diligencia, quebrando así el nexo de causalidad de la responsabilidad.</w:t>
      </w:r>
    </w:p>
    <w:p w14:paraId="721F509E" w14:textId="77777777" w:rsidR="008F5423" w:rsidRPr="00517388" w:rsidRDefault="008F5423" w:rsidP="003437D8">
      <w:pPr>
        <w:pStyle w:val="Default"/>
        <w:ind w:right="566"/>
        <w:jc w:val="both"/>
        <w:rPr>
          <w:rFonts w:ascii="Arial" w:hAnsi="Arial" w:cs="Arial"/>
        </w:rPr>
      </w:pPr>
    </w:p>
    <w:p w14:paraId="5956523F" w14:textId="526EB6C4" w:rsidR="003437D8" w:rsidRPr="00517388" w:rsidRDefault="003437D8" w:rsidP="003437D8">
      <w:pPr>
        <w:pStyle w:val="Default"/>
        <w:ind w:right="-1"/>
        <w:jc w:val="both"/>
        <w:rPr>
          <w:rFonts w:ascii="Arial" w:hAnsi="Arial" w:cs="Arial"/>
        </w:rPr>
      </w:pPr>
      <w:r w:rsidRPr="00517388">
        <w:rPr>
          <w:rFonts w:ascii="Arial" w:hAnsi="Arial" w:cs="Arial"/>
        </w:rPr>
        <w:lastRenderedPageBreak/>
        <w:t xml:space="preserve">El problema de todo el borrador en el plano de la responsabilidad de las empresas es que la debida diligencia opera una especie de desplazamiento del sentido clásico del cumplimiento de las obligaciones, cuyo centro pasa a ocupar, </w:t>
      </w:r>
      <w:r w:rsidR="000E23CC">
        <w:rPr>
          <w:rFonts w:ascii="Arial" w:hAnsi="Arial" w:cs="Arial"/>
        </w:rPr>
        <w:t xml:space="preserve">según surge con claridad de </w:t>
      </w:r>
      <w:r w:rsidRPr="00517388">
        <w:rPr>
          <w:rFonts w:ascii="Arial" w:hAnsi="Arial" w:cs="Arial"/>
        </w:rPr>
        <w:t>arts. 6,  8.7 y 8.8 del segundo borrador</w:t>
      </w:r>
      <w:r w:rsidR="000E23CC">
        <w:rPr>
          <w:rFonts w:ascii="Arial" w:hAnsi="Arial" w:cs="Arial"/>
        </w:rPr>
        <w:t xml:space="preserve"> de tratado vinculante</w:t>
      </w:r>
      <w:r w:rsidRPr="00517388">
        <w:rPr>
          <w:rFonts w:ascii="Arial" w:hAnsi="Arial" w:cs="Arial"/>
        </w:rPr>
        <w:t>.</w:t>
      </w:r>
    </w:p>
    <w:p w14:paraId="018E52CB" w14:textId="77777777" w:rsidR="003437D8" w:rsidRPr="00517388" w:rsidRDefault="003437D8" w:rsidP="003437D8">
      <w:pPr>
        <w:pStyle w:val="Default"/>
        <w:ind w:right="-1"/>
        <w:jc w:val="both"/>
        <w:rPr>
          <w:rFonts w:ascii="Arial" w:hAnsi="Arial" w:cs="Arial"/>
        </w:rPr>
      </w:pPr>
    </w:p>
    <w:p w14:paraId="57015FA4" w14:textId="77777777" w:rsidR="003437D8" w:rsidRPr="00517388" w:rsidRDefault="003437D8" w:rsidP="003437D8">
      <w:pPr>
        <w:pStyle w:val="Default"/>
        <w:ind w:right="-1"/>
        <w:jc w:val="both"/>
        <w:rPr>
          <w:rFonts w:ascii="Arial" w:hAnsi="Arial" w:cs="Arial"/>
        </w:rPr>
      </w:pPr>
    </w:p>
    <w:p w14:paraId="54A00551" w14:textId="092A3914" w:rsidR="002977BC" w:rsidRPr="00517388" w:rsidRDefault="00C01451" w:rsidP="00AB64B1">
      <w:pPr>
        <w:pStyle w:val="Default"/>
        <w:jc w:val="both"/>
        <w:rPr>
          <w:rFonts w:ascii="Arial" w:hAnsi="Arial" w:cs="Arial"/>
          <w:i/>
        </w:rPr>
      </w:pPr>
      <w:r w:rsidRPr="00517388">
        <w:rPr>
          <w:rFonts w:ascii="Arial" w:hAnsi="Arial" w:cs="Arial"/>
          <w:i/>
        </w:rPr>
        <w:t>II.2.3</w:t>
      </w:r>
      <w:r w:rsidR="00A65157" w:rsidRPr="00517388">
        <w:rPr>
          <w:rFonts w:ascii="Arial" w:hAnsi="Arial" w:cs="Arial"/>
          <w:i/>
        </w:rPr>
        <w:t xml:space="preserve"> </w:t>
      </w:r>
      <w:r w:rsidR="00962CE6" w:rsidRPr="00517388">
        <w:rPr>
          <w:rFonts w:ascii="Arial" w:hAnsi="Arial" w:cs="Arial"/>
          <w:i/>
        </w:rPr>
        <w:t xml:space="preserve">Una muestra de respuestas nacionales: </w:t>
      </w:r>
      <w:r w:rsidR="00A65157" w:rsidRPr="00517388">
        <w:rPr>
          <w:rFonts w:ascii="Arial" w:hAnsi="Arial" w:cs="Arial"/>
          <w:i/>
        </w:rPr>
        <w:t xml:space="preserve">La ley </w:t>
      </w:r>
      <w:r w:rsidR="002977BC" w:rsidRPr="00517388">
        <w:rPr>
          <w:rFonts w:ascii="Arial" w:hAnsi="Arial" w:cs="Arial"/>
          <w:i/>
        </w:rPr>
        <w:t>francesa</w:t>
      </w:r>
      <w:r w:rsidR="00A65157" w:rsidRPr="00517388">
        <w:rPr>
          <w:rFonts w:ascii="Arial" w:hAnsi="Arial" w:cs="Arial"/>
          <w:i/>
        </w:rPr>
        <w:t xml:space="preserve"> </w:t>
      </w:r>
      <w:r w:rsidRPr="00517388">
        <w:rPr>
          <w:rFonts w:ascii="Arial" w:hAnsi="Arial" w:cs="Arial"/>
          <w:i/>
        </w:rPr>
        <w:t>de 2017</w:t>
      </w:r>
    </w:p>
    <w:p w14:paraId="229E95AD" w14:textId="77777777" w:rsidR="00A65157" w:rsidRPr="00517388" w:rsidRDefault="00A65157" w:rsidP="00AB64B1">
      <w:pPr>
        <w:pStyle w:val="Default"/>
        <w:jc w:val="both"/>
        <w:rPr>
          <w:rFonts w:ascii="Arial" w:hAnsi="Arial" w:cs="Arial"/>
        </w:rPr>
      </w:pPr>
    </w:p>
    <w:p w14:paraId="78CC536A" w14:textId="5041B886" w:rsidR="00A65157" w:rsidRPr="00517388" w:rsidRDefault="00A65157" w:rsidP="00AB64B1">
      <w:pPr>
        <w:jc w:val="both"/>
        <w:rPr>
          <w:rFonts w:ascii="Arial" w:hAnsi="Arial" w:cs="Arial"/>
          <w:sz w:val="24"/>
          <w:szCs w:val="24"/>
        </w:rPr>
      </w:pPr>
      <w:r w:rsidRPr="00517388">
        <w:rPr>
          <w:rFonts w:ascii="Arial" w:hAnsi="Arial" w:cs="Arial"/>
          <w:sz w:val="24"/>
          <w:szCs w:val="24"/>
        </w:rPr>
        <w:t>La obligación de debida diligencia quedó alojada en el ordenamiento jurídico francés en el ar</w:t>
      </w:r>
      <w:r w:rsidR="00984B5B" w:rsidRPr="00517388">
        <w:rPr>
          <w:rFonts w:ascii="Arial" w:hAnsi="Arial" w:cs="Arial"/>
          <w:sz w:val="24"/>
          <w:szCs w:val="24"/>
        </w:rPr>
        <w:t>t. L. 225-102-4 del Código de Comercio</w:t>
      </w:r>
      <w:r w:rsidRPr="00517388">
        <w:rPr>
          <w:rFonts w:ascii="Arial" w:hAnsi="Arial" w:cs="Arial"/>
          <w:sz w:val="24"/>
          <w:szCs w:val="24"/>
        </w:rPr>
        <w:t>, adoptando la forma de incluir un ins</w:t>
      </w:r>
      <w:r w:rsidR="00984B5B" w:rsidRPr="00517388">
        <w:rPr>
          <w:rFonts w:ascii="Arial" w:hAnsi="Arial" w:cs="Arial"/>
          <w:sz w:val="24"/>
          <w:szCs w:val="24"/>
        </w:rPr>
        <w:t xml:space="preserve">trumento de prevención, el “plan de vigilancia”, </w:t>
      </w:r>
      <w:r w:rsidRPr="00517388">
        <w:rPr>
          <w:rFonts w:ascii="Arial" w:hAnsi="Arial" w:cs="Arial"/>
          <w:sz w:val="24"/>
          <w:szCs w:val="24"/>
        </w:rPr>
        <w:t>en las políticas de las empresas que se encuentren en el ámbito de aplicación.</w:t>
      </w:r>
    </w:p>
    <w:p w14:paraId="7E59ED55" w14:textId="71FE858C" w:rsidR="00984B5B" w:rsidRPr="00517388" w:rsidRDefault="00A65157" w:rsidP="00AB64B1">
      <w:pPr>
        <w:jc w:val="both"/>
        <w:rPr>
          <w:rFonts w:ascii="Arial" w:hAnsi="Arial" w:cs="Arial"/>
          <w:sz w:val="24"/>
          <w:szCs w:val="24"/>
        </w:rPr>
      </w:pPr>
      <w:r w:rsidRPr="00517388">
        <w:rPr>
          <w:rFonts w:ascii="Arial" w:hAnsi="Arial" w:cs="Arial"/>
          <w:sz w:val="24"/>
          <w:szCs w:val="24"/>
        </w:rPr>
        <w:t>La norma importa tanto por materi</w:t>
      </w:r>
      <w:r w:rsidR="00C01451" w:rsidRPr="00517388">
        <w:rPr>
          <w:rFonts w:ascii="Arial" w:hAnsi="Arial" w:cs="Arial"/>
          <w:sz w:val="24"/>
          <w:szCs w:val="24"/>
        </w:rPr>
        <w:t>a</w:t>
      </w:r>
      <w:r w:rsidRPr="00517388">
        <w:rPr>
          <w:rFonts w:ascii="Arial" w:hAnsi="Arial" w:cs="Arial"/>
          <w:sz w:val="24"/>
          <w:szCs w:val="24"/>
        </w:rPr>
        <w:t>lizar el concepto de debida diligencia en un ordenamiento jurídico en particular como por incursionar en alguna soluciones que son fuertemente debatidas en el plano internacional cuando se discute</w:t>
      </w:r>
      <w:r w:rsidR="003437D8" w:rsidRPr="00517388">
        <w:rPr>
          <w:rFonts w:ascii="Arial" w:hAnsi="Arial" w:cs="Arial"/>
          <w:sz w:val="24"/>
          <w:szCs w:val="24"/>
        </w:rPr>
        <w:t>n</w:t>
      </w:r>
      <w:r w:rsidRPr="00517388">
        <w:rPr>
          <w:rFonts w:ascii="Arial" w:hAnsi="Arial" w:cs="Arial"/>
          <w:sz w:val="24"/>
          <w:szCs w:val="24"/>
        </w:rPr>
        <w:t xml:space="preserve"> las características del tratado vinculante</w:t>
      </w:r>
      <w:r w:rsidR="003437D8" w:rsidRPr="00517388">
        <w:rPr>
          <w:rFonts w:ascii="Arial" w:hAnsi="Arial" w:cs="Arial"/>
          <w:sz w:val="24"/>
          <w:szCs w:val="24"/>
        </w:rPr>
        <w:t xml:space="preserve"> a que hacíamos referencia supra</w:t>
      </w:r>
      <w:r w:rsidRPr="00517388">
        <w:rPr>
          <w:rFonts w:ascii="Arial" w:hAnsi="Arial" w:cs="Arial"/>
          <w:sz w:val="24"/>
          <w:szCs w:val="24"/>
        </w:rPr>
        <w:t>, tales como el ámbito de aplicación, el contenido del plan de vigilancia y los mecanismos para facilitar la eficacia y la adopción misma por las empresas.</w:t>
      </w:r>
    </w:p>
    <w:p w14:paraId="0F6A049D" w14:textId="5EE8AC26" w:rsidR="00984B5B" w:rsidRPr="00517388" w:rsidRDefault="00A65157" w:rsidP="00AB64B1">
      <w:pPr>
        <w:pStyle w:val="Default"/>
        <w:jc w:val="both"/>
        <w:rPr>
          <w:rFonts w:ascii="Arial" w:hAnsi="Arial" w:cs="Arial"/>
        </w:rPr>
      </w:pPr>
      <w:r w:rsidRPr="00517388">
        <w:rPr>
          <w:rFonts w:ascii="Arial" w:hAnsi="Arial" w:cs="Arial"/>
        </w:rPr>
        <w:t xml:space="preserve">El primer punto controvertido que puede estudiarse en paralelo con el debate internacional es el alcance, que en el caso francés no </w:t>
      </w:r>
      <w:r w:rsidR="00984B5B" w:rsidRPr="00517388">
        <w:rPr>
          <w:rFonts w:ascii="Arial" w:hAnsi="Arial" w:cs="Arial"/>
        </w:rPr>
        <w:t>aplica a todas las empresas,</w:t>
      </w:r>
      <w:r w:rsidRPr="00517388">
        <w:rPr>
          <w:rFonts w:ascii="Arial" w:hAnsi="Arial" w:cs="Arial"/>
        </w:rPr>
        <w:t xml:space="preserve"> ya que el </w:t>
      </w:r>
      <w:r w:rsidR="00984B5B" w:rsidRPr="00517388">
        <w:rPr>
          <w:rFonts w:ascii="Arial" w:hAnsi="Arial" w:cs="Arial"/>
        </w:rPr>
        <w:t xml:space="preserve"> plan de vigilancia debe ser </w:t>
      </w:r>
      <w:r w:rsidRPr="00517388">
        <w:rPr>
          <w:rFonts w:ascii="Arial" w:hAnsi="Arial" w:cs="Arial"/>
        </w:rPr>
        <w:t>cumplido por empresas que tengan cierto número de trabajadores durante dos años cons</w:t>
      </w:r>
      <w:r w:rsidR="00984B5B" w:rsidRPr="00517388">
        <w:rPr>
          <w:rFonts w:ascii="Arial" w:hAnsi="Arial" w:cs="Arial"/>
        </w:rPr>
        <w:t xml:space="preserve">ecutivos, </w:t>
      </w:r>
      <w:r w:rsidRPr="00517388">
        <w:rPr>
          <w:rFonts w:ascii="Arial" w:hAnsi="Arial" w:cs="Arial"/>
        </w:rPr>
        <w:t xml:space="preserve">o cuente con un número muy importante </w:t>
      </w:r>
      <w:r w:rsidR="0014090C" w:rsidRPr="00517388">
        <w:rPr>
          <w:rFonts w:ascii="Arial" w:hAnsi="Arial" w:cs="Arial"/>
        </w:rPr>
        <w:t xml:space="preserve">que contemple a </w:t>
      </w:r>
      <w:r w:rsidRPr="00517388">
        <w:rPr>
          <w:rFonts w:ascii="Arial" w:hAnsi="Arial" w:cs="Arial"/>
        </w:rPr>
        <w:t xml:space="preserve">sus </w:t>
      </w:r>
      <w:r w:rsidR="00984B5B" w:rsidRPr="00517388">
        <w:rPr>
          <w:rFonts w:ascii="Arial" w:hAnsi="Arial" w:cs="Arial"/>
        </w:rPr>
        <w:t xml:space="preserve">subsidiarias directas o indirectas con domicilio social en el territorio francés, o </w:t>
      </w:r>
      <w:r w:rsidRPr="00517388">
        <w:rPr>
          <w:rFonts w:ascii="Arial" w:hAnsi="Arial" w:cs="Arial"/>
        </w:rPr>
        <w:t>con d</w:t>
      </w:r>
      <w:r w:rsidR="00984B5B" w:rsidRPr="00517388">
        <w:rPr>
          <w:rFonts w:ascii="Arial" w:hAnsi="Arial" w:cs="Arial"/>
        </w:rPr>
        <w:t>iez mil trabajadores entre la empresa principal y sus filiales directas o indirectas, con domicilio social en el territorio francés o en el extranjero</w:t>
      </w:r>
      <w:r w:rsidRPr="00517388">
        <w:rPr>
          <w:rFonts w:ascii="Arial" w:hAnsi="Arial" w:cs="Arial"/>
        </w:rPr>
        <w:t>.</w:t>
      </w:r>
    </w:p>
    <w:p w14:paraId="5650BB83" w14:textId="77777777" w:rsidR="0014090C" w:rsidRPr="00517388" w:rsidRDefault="0014090C" w:rsidP="00AB64B1">
      <w:pPr>
        <w:pStyle w:val="Default"/>
        <w:jc w:val="both"/>
        <w:rPr>
          <w:rFonts w:ascii="Arial" w:hAnsi="Arial" w:cs="Arial"/>
        </w:rPr>
      </w:pPr>
    </w:p>
    <w:p w14:paraId="2C05767D" w14:textId="2FEB7121" w:rsidR="0014090C" w:rsidRPr="00517388" w:rsidRDefault="0014090C" w:rsidP="00AB64B1">
      <w:pPr>
        <w:pStyle w:val="Default"/>
        <w:jc w:val="both"/>
        <w:rPr>
          <w:rFonts w:ascii="Arial" w:hAnsi="Arial" w:cs="Arial"/>
        </w:rPr>
      </w:pPr>
      <w:r w:rsidRPr="00517388">
        <w:rPr>
          <w:rFonts w:ascii="Arial" w:hAnsi="Arial" w:cs="Arial"/>
        </w:rPr>
        <w:t>O</w:t>
      </w:r>
      <w:r w:rsidR="00DE0114" w:rsidRPr="00517388">
        <w:rPr>
          <w:rFonts w:ascii="Arial" w:hAnsi="Arial" w:cs="Arial"/>
        </w:rPr>
        <w:t xml:space="preserve">tro sesgo de la ley francesa afín a las discusiones sobre el tratado vinculante, tiene </w:t>
      </w:r>
      <w:r w:rsidR="00A65157" w:rsidRPr="00517388">
        <w:rPr>
          <w:rFonts w:ascii="Arial" w:hAnsi="Arial" w:cs="Arial"/>
        </w:rPr>
        <w:t xml:space="preserve">relación con </w:t>
      </w:r>
      <w:r w:rsidR="0044587C">
        <w:rPr>
          <w:rFonts w:ascii="Arial" w:hAnsi="Arial" w:cs="Arial"/>
        </w:rPr>
        <w:t xml:space="preserve">la categoría de </w:t>
      </w:r>
      <w:r w:rsidR="00A65157" w:rsidRPr="00517388">
        <w:rPr>
          <w:rFonts w:ascii="Arial" w:hAnsi="Arial" w:cs="Arial"/>
        </w:rPr>
        <w:t>los</w:t>
      </w:r>
      <w:r w:rsidR="00DE0114" w:rsidRPr="00517388">
        <w:rPr>
          <w:rFonts w:ascii="Arial" w:hAnsi="Arial" w:cs="Arial"/>
        </w:rPr>
        <w:t xml:space="preserve"> derechos a proteger</w:t>
      </w:r>
      <w:r w:rsidR="00A65157" w:rsidRPr="00517388">
        <w:rPr>
          <w:rFonts w:ascii="Arial" w:hAnsi="Arial" w:cs="Arial"/>
        </w:rPr>
        <w:t xml:space="preserve">. </w:t>
      </w:r>
    </w:p>
    <w:p w14:paraId="464384DF" w14:textId="77777777" w:rsidR="0014090C" w:rsidRPr="00517388" w:rsidRDefault="0014090C" w:rsidP="00AB64B1">
      <w:pPr>
        <w:pStyle w:val="Default"/>
        <w:jc w:val="both"/>
        <w:rPr>
          <w:rFonts w:ascii="Arial" w:hAnsi="Arial" w:cs="Arial"/>
        </w:rPr>
      </w:pPr>
    </w:p>
    <w:p w14:paraId="152DCCC2" w14:textId="61C2E69B" w:rsidR="00DE0114" w:rsidRPr="00517388" w:rsidRDefault="00A65157" w:rsidP="00AB64B1">
      <w:pPr>
        <w:pStyle w:val="Default"/>
        <w:jc w:val="both"/>
        <w:rPr>
          <w:rFonts w:ascii="Arial" w:hAnsi="Arial" w:cs="Arial"/>
        </w:rPr>
      </w:pPr>
      <w:r w:rsidRPr="00517388">
        <w:rPr>
          <w:rFonts w:ascii="Arial" w:hAnsi="Arial" w:cs="Arial"/>
        </w:rPr>
        <w:t xml:space="preserve">A ese respecto </w:t>
      </w:r>
      <w:r w:rsidR="00DE0114" w:rsidRPr="00517388">
        <w:rPr>
          <w:rFonts w:ascii="Arial" w:hAnsi="Arial" w:cs="Arial"/>
        </w:rPr>
        <w:t xml:space="preserve">la norma establece que el plan </w:t>
      </w:r>
      <w:r w:rsidR="0014090C" w:rsidRPr="00517388">
        <w:rPr>
          <w:rFonts w:ascii="Arial" w:hAnsi="Arial" w:cs="Arial"/>
        </w:rPr>
        <w:t xml:space="preserve">de vigilancia </w:t>
      </w:r>
      <w:r w:rsidR="00DE0114" w:rsidRPr="00517388">
        <w:rPr>
          <w:rFonts w:ascii="Arial" w:hAnsi="Arial" w:cs="Arial"/>
        </w:rPr>
        <w:t xml:space="preserve">debe prevenir los riesgos de violaciones </w:t>
      </w:r>
      <w:r w:rsidR="0014090C" w:rsidRPr="00517388">
        <w:rPr>
          <w:rFonts w:ascii="Arial" w:hAnsi="Arial" w:cs="Arial"/>
        </w:rPr>
        <w:t>“</w:t>
      </w:r>
      <w:r w:rsidR="00DE0114" w:rsidRPr="00517388">
        <w:rPr>
          <w:rFonts w:ascii="Arial" w:hAnsi="Arial" w:cs="Arial"/>
          <w:iCs/>
        </w:rPr>
        <w:t>graves</w:t>
      </w:r>
      <w:r w:rsidR="0014090C" w:rsidRPr="00517388">
        <w:rPr>
          <w:rFonts w:ascii="Arial" w:hAnsi="Arial" w:cs="Arial"/>
          <w:iCs/>
        </w:rPr>
        <w:t>”</w:t>
      </w:r>
      <w:r w:rsidR="00DE0114" w:rsidRPr="00517388">
        <w:rPr>
          <w:rFonts w:ascii="Arial" w:hAnsi="Arial" w:cs="Arial"/>
          <w:i/>
          <w:iCs/>
        </w:rPr>
        <w:t xml:space="preserve"> </w:t>
      </w:r>
      <w:r w:rsidR="00DE0114" w:rsidRPr="00517388">
        <w:rPr>
          <w:rFonts w:ascii="Arial" w:hAnsi="Arial" w:cs="Arial"/>
        </w:rPr>
        <w:t xml:space="preserve">de los derechos humanos y libertades fundamentales, la salud y la seguridad de las personas y el ambiente. </w:t>
      </w:r>
      <w:r w:rsidR="005278F7" w:rsidRPr="00517388">
        <w:rPr>
          <w:rFonts w:ascii="Arial" w:hAnsi="Arial" w:cs="Arial"/>
        </w:rPr>
        <w:t>Se trata de una enumeración general y amplia, sin mayor precisión, lo que la ha dejado expuesta a críticas de sus opositores.</w:t>
      </w:r>
    </w:p>
    <w:p w14:paraId="4172CE24" w14:textId="77777777" w:rsidR="00DE0114" w:rsidRPr="00517388" w:rsidRDefault="00DE0114" w:rsidP="00AB64B1">
      <w:pPr>
        <w:pStyle w:val="Default"/>
        <w:jc w:val="both"/>
        <w:rPr>
          <w:rFonts w:ascii="Arial" w:hAnsi="Arial" w:cs="Arial"/>
        </w:rPr>
      </w:pPr>
    </w:p>
    <w:p w14:paraId="5299E14C" w14:textId="5B204638" w:rsidR="00DE0114" w:rsidRPr="00517388" w:rsidRDefault="005278F7" w:rsidP="005278F7">
      <w:pPr>
        <w:pStyle w:val="Default"/>
        <w:jc w:val="both"/>
        <w:rPr>
          <w:rFonts w:ascii="Arial" w:hAnsi="Arial" w:cs="Arial"/>
        </w:rPr>
      </w:pPr>
      <w:r w:rsidRPr="00517388">
        <w:rPr>
          <w:rFonts w:ascii="Arial" w:hAnsi="Arial" w:cs="Arial"/>
        </w:rPr>
        <w:t>Como en otros casos vistos supra, se alude a las “grav</w:t>
      </w:r>
      <w:r w:rsidR="00DE0114" w:rsidRPr="00517388">
        <w:rPr>
          <w:rFonts w:ascii="Arial" w:hAnsi="Arial" w:cs="Arial"/>
        </w:rPr>
        <w:t>es” a las viol</w:t>
      </w:r>
      <w:r w:rsidRPr="00517388">
        <w:rPr>
          <w:rFonts w:ascii="Arial" w:hAnsi="Arial" w:cs="Arial"/>
        </w:rPr>
        <w:t xml:space="preserve">aciones de los derechos humanos, gradación que no cuenta con definición clara en la </w:t>
      </w:r>
      <w:r w:rsidR="00DE0114" w:rsidRPr="00517388">
        <w:rPr>
          <w:rFonts w:ascii="Arial" w:hAnsi="Arial" w:cs="Arial"/>
        </w:rPr>
        <w:t>normativa internacional</w:t>
      </w:r>
      <w:r w:rsidR="0044587C">
        <w:rPr>
          <w:rFonts w:ascii="Arial" w:hAnsi="Arial" w:cs="Arial"/>
        </w:rPr>
        <w:t xml:space="preserve"> y</w:t>
      </w:r>
      <w:r w:rsidR="00DE0114" w:rsidRPr="00517388">
        <w:rPr>
          <w:rFonts w:ascii="Arial" w:hAnsi="Arial" w:cs="Arial"/>
        </w:rPr>
        <w:t xml:space="preserve"> respecto de </w:t>
      </w:r>
      <w:r w:rsidRPr="00517388">
        <w:rPr>
          <w:rFonts w:ascii="Arial" w:hAnsi="Arial" w:cs="Arial"/>
        </w:rPr>
        <w:t xml:space="preserve">la cual la </w:t>
      </w:r>
      <w:r w:rsidR="00DE0114" w:rsidRPr="00517388">
        <w:rPr>
          <w:rFonts w:ascii="Arial" w:hAnsi="Arial" w:cs="Arial"/>
        </w:rPr>
        <w:t xml:space="preserve">guía de interpretación de los Principios Ruggie señala que: </w:t>
      </w:r>
    </w:p>
    <w:p w14:paraId="0C312BB6" w14:textId="77777777" w:rsidR="005278F7" w:rsidRPr="00517388" w:rsidRDefault="005278F7" w:rsidP="005278F7">
      <w:pPr>
        <w:pStyle w:val="Default"/>
        <w:jc w:val="both"/>
        <w:rPr>
          <w:rFonts w:ascii="Arial" w:hAnsi="Arial" w:cs="Arial"/>
        </w:rPr>
      </w:pPr>
    </w:p>
    <w:p w14:paraId="7BC59174" w14:textId="0D15C238" w:rsidR="00DE0114" w:rsidRPr="00517388" w:rsidRDefault="00DE0114" w:rsidP="005278F7">
      <w:pPr>
        <w:pStyle w:val="Default"/>
        <w:ind w:left="567" w:right="566"/>
        <w:jc w:val="both"/>
        <w:rPr>
          <w:rFonts w:ascii="Arial" w:hAnsi="Arial" w:cs="Arial"/>
        </w:rPr>
      </w:pPr>
      <w:r w:rsidRPr="00517388">
        <w:rPr>
          <w:rFonts w:ascii="Arial" w:hAnsi="Arial" w:cs="Arial"/>
        </w:rPr>
        <w:t xml:space="preserve">En el derecho internacional no existe una definición única de qué constituye una violación grave de los derechos humanos, aunque, en general, se considerarían incluidas las siguientes prácticas: el genocidio, las prácticas de esclavitud y similares a la esclavitud, las ejecuciones sumarias o arbitrarias, la tortura, las desapariciones forzadas, la detención arbitraria y prolongada y la discriminación </w:t>
      </w:r>
      <w:r w:rsidRPr="00517388">
        <w:rPr>
          <w:rFonts w:ascii="Arial" w:hAnsi="Arial" w:cs="Arial"/>
        </w:rPr>
        <w:lastRenderedPageBreak/>
        <w:t xml:space="preserve">sistemática. Otros tipos de violaciones de los derechos humanos, incluidos los derechos económicos, sociales y culturales, pueden considerarse también violaciones graves si son importantes y sistemáticas como, por ejemplo, las violaciones que se cometen en gran escala o se dirigen contra grupos </w:t>
      </w:r>
      <w:r w:rsidR="005278F7" w:rsidRPr="00517388">
        <w:rPr>
          <w:rFonts w:ascii="Arial" w:hAnsi="Arial" w:cs="Arial"/>
        </w:rPr>
        <w:t>concretos de la población</w:t>
      </w:r>
      <w:r w:rsidR="0014090C" w:rsidRPr="00517388">
        <w:rPr>
          <w:rFonts w:ascii="Arial" w:hAnsi="Arial" w:cs="Arial"/>
        </w:rPr>
        <w:t>.</w:t>
      </w:r>
      <w:r w:rsidR="005278F7" w:rsidRPr="00517388">
        <w:rPr>
          <w:rStyle w:val="Refdenotaalpie"/>
          <w:rFonts w:ascii="Arial" w:hAnsi="Arial" w:cs="Arial"/>
        </w:rPr>
        <w:footnoteReference w:id="22"/>
      </w:r>
    </w:p>
    <w:p w14:paraId="636FE8CC" w14:textId="77777777" w:rsidR="005278F7" w:rsidRPr="00517388" w:rsidRDefault="005278F7" w:rsidP="005278F7">
      <w:pPr>
        <w:pStyle w:val="Default"/>
        <w:ind w:left="567" w:right="566"/>
        <w:jc w:val="both"/>
        <w:rPr>
          <w:rFonts w:ascii="Arial" w:hAnsi="Arial" w:cs="Arial"/>
        </w:rPr>
      </w:pPr>
    </w:p>
    <w:p w14:paraId="660C6CC4" w14:textId="717E1446" w:rsidR="005278F7" w:rsidRPr="00517388" w:rsidRDefault="005278F7" w:rsidP="005278F7">
      <w:pPr>
        <w:pStyle w:val="Default"/>
        <w:jc w:val="both"/>
        <w:rPr>
          <w:rFonts w:ascii="Arial" w:hAnsi="Arial" w:cs="Arial"/>
        </w:rPr>
      </w:pPr>
      <w:r w:rsidRPr="00517388">
        <w:rPr>
          <w:rFonts w:ascii="Arial" w:hAnsi="Arial" w:cs="Arial"/>
        </w:rPr>
        <w:t>En cuanto al c</w:t>
      </w:r>
      <w:r w:rsidR="00DE0114" w:rsidRPr="00517388">
        <w:rPr>
          <w:rFonts w:ascii="Arial" w:hAnsi="Arial" w:cs="Arial"/>
        </w:rPr>
        <w:t>ontenido del plan de vigilancia</w:t>
      </w:r>
      <w:r w:rsidR="0014090C" w:rsidRPr="00517388">
        <w:rPr>
          <w:rFonts w:ascii="Arial" w:hAnsi="Arial" w:cs="Arial"/>
        </w:rPr>
        <w:t>, paradigma de la debida diligencia, e</w:t>
      </w:r>
      <w:r w:rsidRPr="00517388">
        <w:rPr>
          <w:rFonts w:ascii="Arial" w:hAnsi="Arial" w:cs="Arial"/>
        </w:rPr>
        <w:t>numera un listado mínimo de materias, como</w:t>
      </w:r>
      <w:r w:rsidR="0014090C" w:rsidRPr="00517388">
        <w:rPr>
          <w:rFonts w:ascii="Arial" w:hAnsi="Arial" w:cs="Arial"/>
        </w:rPr>
        <w:t>:</w:t>
      </w:r>
      <w:r w:rsidRPr="00517388">
        <w:rPr>
          <w:rFonts w:ascii="Arial" w:hAnsi="Arial" w:cs="Arial"/>
        </w:rPr>
        <w:t xml:space="preserve"> </w:t>
      </w:r>
    </w:p>
    <w:p w14:paraId="39DCED35" w14:textId="092EBF30" w:rsidR="00DE0114" w:rsidRPr="00517388" w:rsidRDefault="00DE0114" w:rsidP="00AB64B1">
      <w:pPr>
        <w:pStyle w:val="Default"/>
        <w:jc w:val="both"/>
        <w:rPr>
          <w:rFonts w:ascii="Arial" w:hAnsi="Arial" w:cs="Arial"/>
        </w:rPr>
      </w:pPr>
    </w:p>
    <w:p w14:paraId="6B84CD76" w14:textId="5A8AB430" w:rsidR="00DE0114" w:rsidRPr="00517388" w:rsidRDefault="00DE0114" w:rsidP="00AB64B1">
      <w:pPr>
        <w:pStyle w:val="Default"/>
        <w:spacing w:after="171"/>
        <w:jc w:val="both"/>
        <w:rPr>
          <w:rFonts w:ascii="Arial" w:hAnsi="Arial" w:cs="Arial"/>
        </w:rPr>
      </w:pPr>
      <w:r w:rsidRPr="00517388">
        <w:rPr>
          <w:rFonts w:ascii="Arial" w:hAnsi="Arial" w:cs="Arial"/>
        </w:rPr>
        <w:t xml:space="preserve">- </w:t>
      </w:r>
      <w:r w:rsidR="00962CE6" w:rsidRPr="00517388">
        <w:rPr>
          <w:rFonts w:ascii="Arial" w:hAnsi="Arial" w:cs="Arial"/>
        </w:rPr>
        <w:t>C</w:t>
      </w:r>
      <w:r w:rsidR="005278F7" w:rsidRPr="00517388">
        <w:rPr>
          <w:rFonts w:ascii="Arial" w:hAnsi="Arial" w:cs="Arial"/>
        </w:rPr>
        <w:t>ontar con u</w:t>
      </w:r>
      <w:r w:rsidRPr="00517388">
        <w:rPr>
          <w:rFonts w:ascii="Arial" w:hAnsi="Arial" w:cs="Arial"/>
        </w:rPr>
        <w:t xml:space="preserve">n mapa de riesgos para su identificación, análisis y priorización; </w:t>
      </w:r>
    </w:p>
    <w:p w14:paraId="60CB2572" w14:textId="46635EB5" w:rsidR="00DE0114" w:rsidRPr="00517388" w:rsidRDefault="00DE0114" w:rsidP="00AB64B1">
      <w:pPr>
        <w:pStyle w:val="Default"/>
        <w:spacing w:after="171"/>
        <w:jc w:val="both"/>
        <w:rPr>
          <w:rFonts w:ascii="Arial" w:hAnsi="Arial" w:cs="Arial"/>
        </w:rPr>
      </w:pPr>
      <w:r w:rsidRPr="00517388">
        <w:rPr>
          <w:rFonts w:ascii="Arial" w:hAnsi="Arial" w:cs="Arial"/>
        </w:rPr>
        <w:t xml:space="preserve">- </w:t>
      </w:r>
      <w:r w:rsidR="00962CE6" w:rsidRPr="00517388">
        <w:rPr>
          <w:rFonts w:ascii="Arial" w:hAnsi="Arial" w:cs="Arial"/>
        </w:rPr>
        <w:t>Establecer u</w:t>
      </w:r>
      <w:r w:rsidRPr="00517388">
        <w:rPr>
          <w:rFonts w:ascii="Arial" w:hAnsi="Arial" w:cs="Arial"/>
        </w:rPr>
        <w:t xml:space="preserve">n procedimiento de evaluación periódica de la situación de las filiales, subcontratistas o proveedores con los cuales se mantiene una relación de comercio, según el mapeo de riesgos; </w:t>
      </w:r>
    </w:p>
    <w:p w14:paraId="6C6870BC" w14:textId="7262F48A" w:rsidR="00DE0114" w:rsidRPr="00517388" w:rsidRDefault="00962CE6" w:rsidP="00AB64B1">
      <w:pPr>
        <w:pStyle w:val="Default"/>
        <w:spacing w:after="171"/>
        <w:jc w:val="both"/>
        <w:rPr>
          <w:rFonts w:ascii="Arial" w:hAnsi="Arial" w:cs="Arial"/>
        </w:rPr>
      </w:pPr>
      <w:r w:rsidRPr="00517388">
        <w:rPr>
          <w:rFonts w:ascii="Arial" w:hAnsi="Arial" w:cs="Arial"/>
        </w:rPr>
        <w:t>- Prever a</w:t>
      </w:r>
      <w:r w:rsidR="00DE0114" w:rsidRPr="00517388">
        <w:rPr>
          <w:rFonts w:ascii="Arial" w:hAnsi="Arial" w:cs="Arial"/>
        </w:rPr>
        <w:t xml:space="preserve">cciones de reducción del riesgo o la prevención lesiones graves; </w:t>
      </w:r>
    </w:p>
    <w:p w14:paraId="7DB9D2D4" w14:textId="328DADD0" w:rsidR="00DE0114" w:rsidRPr="00517388" w:rsidRDefault="00DE0114" w:rsidP="00AB64B1">
      <w:pPr>
        <w:pStyle w:val="Default"/>
        <w:spacing w:after="171"/>
        <w:jc w:val="both"/>
        <w:rPr>
          <w:rFonts w:ascii="Arial" w:hAnsi="Arial" w:cs="Arial"/>
        </w:rPr>
      </w:pPr>
      <w:r w:rsidRPr="00517388">
        <w:rPr>
          <w:rFonts w:ascii="Arial" w:hAnsi="Arial" w:cs="Arial"/>
        </w:rPr>
        <w:t xml:space="preserve">- </w:t>
      </w:r>
      <w:r w:rsidR="00962CE6" w:rsidRPr="00517388">
        <w:rPr>
          <w:rFonts w:ascii="Arial" w:hAnsi="Arial" w:cs="Arial"/>
        </w:rPr>
        <w:t>Fijar u</w:t>
      </w:r>
      <w:r w:rsidRPr="00517388">
        <w:rPr>
          <w:rFonts w:ascii="Arial" w:hAnsi="Arial" w:cs="Arial"/>
        </w:rPr>
        <w:t xml:space="preserve">n mecanismo de alerta y recogida de informes relativos a la existencia y actualización del riesgo, establecido en consulta con los sindicatos representativos en la empresa; </w:t>
      </w:r>
    </w:p>
    <w:p w14:paraId="5CDA1D01" w14:textId="4863CE15" w:rsidR="00DE0114" w:rsidRPr="00517388" w:rsidRDefault="00DE0114" w:rsidP="00AB64B1">
      <w:pPr>
        <w:pStyle w:val="Default"/>
        <w:jc w:val="both"/>
        <w:rPr>
          <w:rFonts w:ascii="Arial" w:hAnsi="Arial" w:cs="Arial"/>
        </w:rPr>
      </w:pPr>
      <w:r w:rsidRPr="00517388">
        <w:rPr>
          <w:rFonts w:ascii="Arial" w:hAnsi="Arial" w:cs="Arial"/>
        </w:rPr>
        <w:t xml:space="preserve">- </w:t>
      </w:r>
      <w:r w:rsidR="00962CE6" w:rsidRPr="00517388">
        <w:rPr>
          <w:rFonts w:ascii="Arial" w:hAnsi="Arial" w:cs="Arial"/>
        </w:rPr>
        <w:t>Establecer u</w:t>
      </w:r>
      <w:r w:rsidRPr="00517388">
        <w:rPr>
          <w:rFonts w:ascii="Arial" w:hAnsi="Arial" w:cs="Arial"/>
        </w:rPr>
        <w:t xml:space="preserve">n dispositivo de seguimiento de las medidas puestas en práctica y una evaluación de su eficacia. </w:t>
      </w:r>
    </w:p>
    <w:p w14:paraId="37E5C74F" w14:textId="77777777" w:rsidR="00962CE6" w:rsidRPr="00517388" w:rsidRDefault="00962CE6" w:rsidP="00AB64B1">
      <w:pPr>
        <w:jc w:val="both"/>
        <w:rPr>
          <w:rFonts w:ascii="Arial" w:hAnsi="Arial" w:cs="Arial"/>
          <w:sz w:val="24"/>
          <w:szCs w:val="24"/>
        </w:rPr>
      </w:pPr>
    </w:p>
    <w:p w14:paraId="677AC238" w14:textId="1D503ADF" w:rsidR="00F8423F" w:rsidRPr="00517388" w:rsidRDefault="00962CE6" w:rsidP="00AB64B1">
      <w:pPr>
        <w:jc w:val="both"/>
        <w:rPr>
          <w:rFonts w:ascii="Arial" w:hAnsi="Arial" w:cs="Arial"/>
          <w:b/>
          <w:sz w:val="24"/>
          <w:szCs w:val="24"/>
        </w:rPr>
      </w:pPr>
      <w:r w:rsidRPr="00517388">
        <w:rPr>
          <w:rFonts w:ascii="Arial" w:hAnsi="Arial" w:cs="Arial"/>
          <w:b/>
          <w:sz w:val="24"/>
          <w:szCs w:val="24"/>
        </w:rPr>
        <w:t xml:space="preserve">III. ¿Una obligación de </w:t>
      </w:r>
      <w:r w:rsidR="00F8423F" w:rsidRPr="00517388">
        <w:rPr>
          <w:rFonts w:ascii="Arial" w:hAnsi="Arial" w:cs="Arial"/>
          <w:b/>
          <w:sz w:val="24"/>
          <w:szCs w:val="24"/>
        </w:rPr>
        <w:t>medios o de resultado?</w:t>
      </w:r>
    </w:p>
    <w:p w14:paraId="6B79D7E0" w14:textId="1029E522" w:rsidR="00F8423F" w:rsidRPr="00517388" w:rsidRDefault="00962CE6" w:rsidP="00AB64B1">
      <w:pPr>
        <w:jc w:val="both"/>
        <w:rPr>
          <w:rFonts w:ascii="Arial" w:hAnsi="Arial" w:cs="Arial"/>
          <w:sz w:val="24"/>
          <w:szCs w:val="24"/>
        </w:rPr>
      </w:pPr>
      <w:r w:rsidRPr="00517388">
        <w:rPr>
          <w:rFonts w:ascii="Arial" w:hAnsi="Arial" w:cs="Arial"/>
          <w:sz w:val="24"/>
          <w:szCs w:val="24"/>
        </w:rPr>
        <w:t xml:space="preserve">Acudiendo a una clásica distinción del derecho común entre “obligaciones de medios o de resultado” es posible </w:t>
      </w:r>
      <w:r w:rsidR="00C01451" w:rsidRPr="00517388">
        <w:rPr>
          <w:rFonts w:ascii="Arial" w:hAnsi="Arial" w:cs="Arial"/>
          <w:sz w:val="24"/>
          <w:szCs w:val="24"/>
        </w:rPr>
        <w:t xml:space="preserve">abrir </w:t>
      </w:r>
      <w:r w:rsidRPr="00517388">
        <w:rPr>
          <w:rFonts w:ascii="Arial" w:hAnsi="Arial" w:cs="Arial"/>
          <w:sz w:val="24"/>
          <w:szCs w:val="24"/>
        </w:rPr>
        <w:t>algún tipo de análisis de la significación y el alcance de la debida diligencia.</w:t>
      </w:r>
    </w:p>
    <w:p w14:paraId="3248066B" w14:textId="611544BA" w:rsidR="00C01451" w:rsidRPr="00517388" w:rsidRDefault="00C01451"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De atenernos a los pronunciamientos de la Corte Interamericana de Derechos Humanos, parece claro que desde su primer fallo </w:t>
      </w:r>
      <w:r w:rsidR="00F8423F" w:rsidRPr="00517388">
        <w:rPr>
          <w:rFonts w:ascii="Arial" w:hAnsi="Arial" w:cs="Arial"/>
          <w:sz w:val="24"/>
          <w:szCs w:val="24"/>
        </w:rPr>
        <w:t xml:space="preserve">en el caso </w:t>
      </w:r>
      <w:r w:rsidR="00F8423F" w:rsidRPr="00517388">
        <w:rPr>
          <w:rFonts w:ascii="Arial" w:hAnsi="Arial" w:cs="Arial"/>
          <w:i/>
          <w:iCs/>
          <w:sz w:val="24"/>
          <w:szCs w:val="24"/>
        </w:rPr>
        <w:t xml:space="preserve">Velásquez Rodríguez vs. Honduras” </w:t>
      </w:r>
      <w:r w:rsidRPr="00517388">
        <w:rPr>
          <w:rFonts w:ascii="Arial" w:hAnsi="Arial" w:cs="Arial"/>
          <w:sz w:val="24"/>
          <w:szCs w:val="24"/>
        </w:rPr>
        <w:t>considera a la ob</w:t>
      </w:r>
      <w:r w:rsidR="00F8423F" w:rsidRPr="00517388">
        <w:rPr>
          <w:rFonts w:ascii="Arial" w:hAnsi="Arial" w:cs="Arial"/>
          <w:sz w:val="24"/>
          <w:szCs w:val="24"/>
        </w:rPr>
        <w:t xml:space="preserve">ligación de prevenir </w:t>
      </w:r>
      <w:r w:rsidRPr="00517388">
        <w:rPr>
          <w:rFonts w:ascii="Arial" w:hAnsi="Arial" w:cs="Arial"/>
          <w:sz w:val="24"/>
          <w:szCs w:val="24"/>
        </w:rPr>
        <w:t xml:space="preserve">y de </w:t>
      </w:r>
      <w:r w:rsidR="00F8423F" w:rsidRPr="00517388">
        <w:rPr>
          <w:rFonts w:ascii="Arial" w:hAnsi="Arial" w:cs="Arial"/>
          <w:sz w:val="24"/>
          <w:szCs w:val="24"/>
        </w:rPr>
        <w:t>investigar c</w:t>
      </w:r>
      <w:r w:rsidRPr="00517388">
        <w:rPr>
          <w:rFonts w:ascii="Arial" w:hAnsi="Arial" w:cs="Arial"/>
          <w:sz w:val="24"/>
          <w:szCs w:val="24"/>
        </w:rPr>
        <w:t xml:space="preserve">omo </w:t>
      </w:r>
      <w:r w:rsidR="00F8423F" w:rsidRPr="00517388">
        <w:rPr>
          <w:rFonts w:ascii="Arial" w:hAnsi="Arial" w:cs="Arial"/>
          <w:sz w:val="24"/>
          <w:szCs w:val="24"/>
        </w:rPr>
        <w:t xml:space="preserve">obligaciones de medio o comportamiento. </w:t>
      </w:r>
    </w:p>
    <w:p w14:paraId="5F638555" w14:textId="77777777" w:rsidR="00C01451" w:rsidRPr="00517388" w:rsidRDefault="00C01451" w:rsidP="00AB64B1">
      <w:pPr>
        <w:autoSpaceDE w:val="0"/>
        <w:autoSpaceDN w:val="0"/>
        <w:adjustRightInd w:val="0"/>
        <w:spacing w:after="0" w:line="240" w:lineRule="auto"/>
        <w:jc w:val="both"/>
        <w:rPr>
          <w:rFonts w:ascii="Arial" w:hAnsi="Arial" w:cs="Arial"/>
          <w:sz w:val="24"/>
          <w:szCs w:val="24"/>
        </w:rPr>
      </w:pPr>
    </w:p>
    <w:p w14:paraId="21CAD49B" w14:textId="2FDA4B6A" w:rsidR="00F8423F" w:rsidRPr="00517388" w:rsidRDefault="00F8423F" w:rsidP="00AB64B1">
      <w:pPr>
        <w:autoSpaceDE w:val="0"/>
        <w:autoSpaceDN w:val="0"/>
        <w:adjustRightInd w:val="0"/>
        <w:spacing w:after="0" w:line="240" w:lineRule="auto"/>
        <w:jc w:val="both"/>
        <w:rPr>
          <w:rFonts w:ascii="Arial" w:hAnsi="Arial" w:cs="Arial"/>
          <w:i/>
          <w:iCs/>
          <w:sz w:val="24"/>
          <w:szCs w:val="24"/>
        </w:rPr>
      </w:pPr>
      <w:r w:rsidRPr="00517388">
        <w:rPr>
          <w:rFonts w:ascii="Arial" w:hAnsi="Arial" w:cs="Arial"/>
          <w:sz w:val="24"/>
          <w:szCs w:val="24"/>
        </w:rPr>
        <w:t xml:space="preserve">Respecto a la obligación de prevención, </w:t>
      </w:r>
      <w:r w:rsidR="0044587C">
        <w:rPr>
          <w:rFonts w:ascii="Arial" w:hAnsi="Arial" w:cs="Arial"/>
          <w:sz w:val="24"/>
          <w:szCs w:val="24"/>
        </w:rPr>
        <w:t xml:space="preserve">para </w:t>
      </w:r>
      <w:r w:rsidRPr="00517388">
        <w:rPr>
          <w:rFonts w:ascii="Arial" w:hAnsi="Arial" w:cs="Arial"/>
          <w:sz w:val="24"/>
          <w:szCs w:val="24"/>
        </w:rPr>
        <w:t xml:space="preserve">la CIDH </w:t>
      </w:r>
      <w:r w:rsidRPr="00517388">
        <w:rPr>
          <w:rFonts w:ascii="Arial" w:hAnsi="Arial" w:cs="Arial"/>
          <w:i/>
          <w:iCs/>
          <w:sz w:val="24"/>
          <w:szCs w:val="24"/>
        </w:rPr>
        <w:t>“no se demuestra su incumplimiento por el mero hecho de que un derecho haya sido</w:t>
      </w:r>
      <w:r w:rsidR="0014090C" w:rsidRPr="00517388">
        <w:rPr>
          <w:rFonts w:ascii="Arial" w:hAnsi="Arial" w:cs="Arial"/>
          <w:i/>
          <w:iCs/>
          <w:sz w:val="24"/>
          <w:szCs w:val="24"/>
        </w:rPr>
        <w:t xml:space="preserve"> </w:t>
      </w:r>
      <w:r w:rsidR="0044587C">
        <w:rPr>
          <w:rFonts w:ascii="Arial" w:hAnsi="Arial" w:cs="Arial"/>
          <w:i/>
          <w:iCs/>
          <w:sz w:val="24"/>
          <w:szCs w:val="24"/>
        </w:rPr>
        <w:t>v</w:t>
      </w:r>
      <w:r w:rsidRPr="00517388">
        <w:rPr>
          <w:rFonts w:ascii="Arial" w:hAnsi="Arial" w:cs="Arial"/>
          <w:i/>
          <w:iCs/>
          <w:sz w:val="24"/>
          <w:szCs w:val="24"/>
        </w:rPr>
        <w:t>iolado</w:t>
      </w:r>
      <w:r w:rsidR="00C01451" w:rsidRPr="00517388">
        <w:rPr>
          <w:rFonts w:ascii="Arial" w:hAnsi="Arial" w:cs="Arial"/>
          <w:i/>
          <w:iCs/>
          <w:sz w:val="24"/>
          <w:szCs w:val="24"/>
        </w:rPr>
        <w:t xml:space="preserve">”, </w:t>
      </w:r>
      <w:r w:rsidR="00C01451" w:rsidRPr="00517388">
        <w:rPr>
          <w:rFonts w:ascii="Arial" w:hAnsi="Arial" w:cs="Arial"/>
          <w:iCs/>
          <w:sz w:val="24"/>
          <w:szCs w:val="24"/>
        </w:rPr>
        <w:t xml:space="preserve">y en </w:t>
      </w:r>
      <w:r w:rsidRPr="00517388">
        <w:rPr>
          <w:rFonts w:ascii="Arial" w:hAnsi="Arial" w:cs="Arial"/>
          <w:sz w:val="24"/>
          <w:szCs w:val="24"/>
        </w:rPr>
        <w:t xml:space="preserve">relación a la obligación de investigar ha enfatizado de forma reiterada que la misma </w:t>
      </w:r>
      <w:r w:rsidRPr="00517388">
        <w:rPr>
          <w:rFonts w:ascii="Arial" w:hAnsi="Arial" w:cs="Arial"/>
          <w:i/>
          <w:iCs/>
          <w:sz w:val="24"/>
          <w:szCs w:val="24"/>
        </w:rPr>
        <w:t>“no es incumplida por el solo hecho de que la investigación no produzca un resultado satisfactorio</w:t>
      </w:r>
      <w:r w:rsidR="00C01451" w:rsidRPr="00517388">
        <w:rPr>
          <w:rFonts w:ascii="Arial" w:hAnsi="Arial" w:cs="Arial"/>
          <w:i/>
          <w:iCs/>
          <w:sz w:val="24"/>
          <w:szCs w:val="24"/>
        </w:rPr>
        <w:t>”.</w:t>
      </w:r>
      <w:r w:rsidR="00C01451" w:rsidRPr="00517388">
        <w:rPr>
          <w:rStyle w:val="Refdenotaalpie"/>
          <w:rFonts w:ascii="Arial" w:hAnsi="Arial" w:cs="Arial"/>
          <w:i/>
          <w:iCs/>
          <w:sz w:val="24"/>
          <w:szCs w:val="24"/>
        </w:rPr>
        <w:footnoteReference w:id="23"/>
      </w:r>
    </w:p>
    <w:p w14:paraId="7D4AF228" w14:textId="77777777" w:rsidR="00581641" w:rsidRPr="00517388" w:rsidRDefault="00581641" w:rsidP="00AB64B1">
      <w:pPr>
        <w:autoSpaceDE w:val="0"/>
        <w:autoSpaceDN w:val="0"/>
        <w:adjustRightInd w:val="0"/>
        <w:spacing w:after="0" w:line="240" w:lineRule="auto"/>
        <w:jc w:val="both"/>
        <w:rPr>
          <w:rFonts w:ascii="Arial" w:hAnsi="Arial" w:cs="Arial"/>
          <w:i/>
          <w:iCs/>
          <w:sz w:val="24"/>
          <w:szCs w:val="24"/>
        </w:rPr>
      </w:pPr>
    </w:p>
    <w:p w14:paraId="3F38DD0C" w14:textId="757E9738" w:rsidR="00581641" w:rsidRPr="00517388" w:rsidRDefault="00C01451"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Para mayor claridad, se cita el caso </w:t>
      </w:r>
      <w:r w:rsidR="00581641" w:rsidRPr="00517388">
        <w:rPr>
          <w:rFonts w:ascii="Arial" w:hAnsi="Arial" w:cs="Arial"/>
          <w:i/>
          <w:iCs/>
          <w:sz w:val="24"/>
          <w:szCs w:val="24"/>
        </w:rPr>
        <w:t>Valle Jaramillo y otros vs. Colombia</w:t>
      </w:r>
      <w:r w:rsidRPr="00517388">
        <w:rPr>
          <w:rFonts w:ascii="Arial" w:hAnsi="Arial" w:cs="Arial"/>
          <w:i/>
          <w:iCs/>
          <w:sz w:val="24"/>
          <w:szCs w:val="24"/>
        </w:rPr>
        <w:t xml:space="preserve">, </w:t>
      </w:r>
      <w:r w:rsidRPr="00517388">
        <w:rPr>
          <w:rFonts w:ascii="Arial" w:hAnsi="Arial" w:cs="Arial"/>
          <w:iCs/>
          <w:sz w:val="24"/>
          <w:szCs w:val="24"/>
        </w:rPr>
        <w:t xml:space="preserve">de </w:t>
      </w:r>
      <w:r w:rsidR="00581641" w:rsidRPr="00517388">
        <w:rPr>
          <w:rFonts w:ascii="Arial" w:hAnsi="Arial" w:cs="Arial"/>
          <w:sz w:val="24"/>
          <w:szCs w:val="24"/>
        </w:rPr>
        <w:t>2008</w:t>
      </w:r>
      <w:r w:rsidRPr="00517388">
        <w:rPr>
          <w:rFonts w:ascii="Arial" w:hAnsi="Arial" w:cs="Arial"/>
          <w:sz w:val="24"/>
          <w:szCs w:val="24"/>
        </w:rPr>
        <w:t xml:space="preserve">, en que el órgano expresó: </w:t>
      </w:r>
    </w:p>
    <w:p w14:paraId="7AA21201" w14:textId="77777777" w:rsidR="00C01451" w:rsidRPr="00517388" w:rsidRDefault="00C01451" w:rsidP="00AB64B1">
      <w:pPr>
        <w:autoSpaceDE w:val="0"/>
        <w:autoSpaceDN w:val="0"/>
        <w:adjustRightInd w:val="0"/>
        <w:spacing w:after="0" w:line="240" w:lineRule="auto"/>
        <w:jc w:val="both"/>
        <w:rPr>
          <w:rFonts w:ascii="Arial" w:hAnsi="Arial" w:cs="Arial"/>
          <w:i/>
          <w:iCs/>
          <w:sz w:val="24"/>
          <w:szCs w:val="24"/>
        </w:rPr>
      </w:pPr>
    </w:p>
    <w:p w14:paraId="0384DA39" w14:textId="147C2B9E" w:rsidR="00581641" w:rsidRPr="0044587C" w:rsidRDefault="00581641" w:rsidP="00C01451">
      <w:pPr>
        <w:autoSpaceDE w:val="0"/>
        <w:autoSpaceDN w:val="0"/>
        <w:adjustRightInd w:val="0"/>
        <w:spacing w:after="0" w:line="240" w:lineRule="auto"/>
        <w:ind w:left="567" w:right="566"/>
        <w:jc w:val="both"/>
        <w:rPr>
          <w:rFonts w:ascii="Arial" w:hAnsi="Arial" w:cs="Arial"/>
          <w:bCs/>
          <w:i/>
          <w:iCs/>
          <w:sz w:val="24"/>
          <w:szCs w:val="24"/>
        </w:rPr>
      </w:pPr>
      <w:r w:rsidRPr="00517388">
        <w:rPr>
          <w:rFonts w:ascii="Arial" w:hAnsi="Arial" w:cs="Arial"/>
          <w:i/>
          <w:iCs/>
          <w:sz w:val="24"/>
          <w:szCs w:val="24"/>
        </w:rPr>
        <w:t xml:space="preserve">Por otro lado, la Corte ha reconocido que un Estado no puede ser responsable por cualquier violación de derechos humanos cometida entre particulares dentro de su jurisdicción. Es decir, aunque un acto, omisión o hecho de un particular tenga como consecuencia jurídica la violación de determinados derechos humanos de otro particular, aquél </w:t>
      </w:r>
      <w:r w:rsidRPr="00517388">
        <w:rPr>
          <w:rFonts w:ascii="Arial" w:hAnsi="Arial" w:cs="Arial"/>
          <w:i/>
          <w:iCs/>
          <w:sz w:val="24"/>
          <w:szCs w:val="24"/>
        </w:rPr>
        <w:lastRenderedPageBreak/>
        <w:t xml:space="preserve">no es automáticamente atribuible al Estado, pues debe atenderse a las circunstancias particulares del caso y a la concreción de dichas obligaciones de garantía. En efecto, el carácter </w:t>
      </w:r>
      <w:r w:rsidRPr="00517388">
        <w:rPr>
          <w:rFonts w:ascii="Arial" w:hAnsi="Arial" w:cs="Arial"/>
          <w:sz w:val="24"/>
          <w:szCs w:val="24"/>
        </w:rPr>
        <w:t xml:space="preserve">erga omnes </w:t>
      </w:r>
      <w:r w:rsidRPr="00517388">
        <w:rPr>
          <w:rFonts w:ascii="Arial" w:hAnsi="Arial" w:cs="Arial"/>
          <w:i/>
          <w:iCs/>
          <w:sz w:val="24"/>
          <w:szCs w:val="24"/>
        </w:rPr>
        <w:t xml:space="preserve">de las obligaciones convencionales de garantía a cargo de los Estados no implica una responsabilidad ilimitada de éstos frente a cualquier acto o hecho de particulares, pues sus deberes de adoptar medidas de prevención y protección de los particulares en sus relaciones entre sí </w:t>
      </w:r>
      <w:r w:rsidRPr="0044587C">
        <w:rPr>
          <w:rFonts w:ascii="Arial" w:hAnsi="Arial" w:cs="Arial"/>
          <w:bCs/>
          <w:i/>
          <w:iCs/>
          <w:sz w:val="24"/>
          <w:szCs w:val="24"/>
        </w:rPr>
        <w:t>se encuentran condicionados al conocimiento de una situación de riesgo real e inmediato para un individuo o grupo de individuos determinado y a las posibilidades razonables de prevenir o evitar ese riesgo</w:t>
      </w:r>
    </w:p>
    <w:p w14:paraId="646F4D82" w14:textId="77777777" w:rsidR="00C01451" w:rsidRPr="0044587C" w:rsidRDefault="00C01451" w:rsidP="00AB64B1">
      <w:pPr>
        <w:autoSpaceDE w:val="0"/>
        <w:autoSpaceDN w:val="0"/>
        <w:adjustRightInd w:val="0"/>
        <w:spacing w:after="0" w:line="240" w:lineRule="auto"/>
        <w:jc w:val="both"/>
        <w:rPr>
          <w:rFonts w:ascii="Arial" w:hAnsi="Arial" w:cs="Arial"/>
          <w:bCs/>
          <w:i/>
          <w:iCs/>
          <w:sz w:val="24"/>
          <w:szCs w:val="24"/>
        </w:rPr>
      </w:pPr>
    </w:p>
    <w:p w14:paraId="1AB46D6A" w14:textId="4AE30704" w:rsidR="00581641" w:rsidRPr="00517388" w:rsidRDefault="00392497"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La responsabilidad en esta concepción estricta del deber de diligencia está muy circunscripta al conocimiento del riesgo, la identificación del sujeto pasivo y las posibilidades con que puede contar para prevenir el daño. La violación a los D</w:t>
      </w:r>
      <w:r w:rsidR="0014090C" w:rsidRPr="00517388">
        <w:rPr>
          <w:rFonts w:ascii="Arial" w:hAnsi="Arial" w:cs="Arial"/>
          <w:sz w:val="24"/>
          <w:szCs w:val="24"/>
        </w:rPr>
        <w:t>DHH</w:t>
      </w:r>
      <w:r w:rsidRPr="00517388">
        <w:rPr>
          <w:rFonts w:ascii="Arial" w:hAnsi="Arial" w:cs="Arial"/>
          <w:sz w:val="24"/>
          <w:szCs w:val="24"/>
        </w:rPr>
        <w:t xml:space="preserve"> o antes bien, la responsabilidad es de tipo subjetivo, reposando por tanto en una pesada carga de la prueba para la víctima.</w:t>
      </w:r>
    </w:p>
    <w:p w14:paraId="043206F9" w14:textId="0E422A71" w:rsidR="001A73E3" w:rsidRPr="00517388" w:rsidRDefault="001A73E3" w:rsidP="00AB64B1">
      <w:pPr>
        <w:autoSpaceDE w:val="0"/>
        <w:autoSpaceDN w:val="0"/>
        <w:adjustRightInd w:val="0"/>
        <w:spacing w:after="0" w:line="240" w:lineRule="auto"/>
        <w:jc w:val="both"/>
        <w:rPr>
          <w:rFonts w:ascii="Arial" w:hAnsi="Arial" w:cs="Arial"/>
          <w:sz w:val="24"/>
          <w:szCs w:val="24"/>
        </w:rPr>
      </w:pPr>
    </w:p>
    <w:p w14:paraId="1B62FC6E" w14:textId="648BF81F" w:rsidR="001A73E3" w:rsidRPr="00517388" w:rsidRDefault="00392497"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La doctrina que venimos siguiendo distingue</w:t>
      </w:r>
      <w:r w:rsidR="0044587C">
        <w:rPr>
          <w:rFonts w:ascii="Arial" w:hAnsi="Arial" w:cs="Arial"/>
          <w:sz w:val="24"/>
          <w:szCs w:val="24"/>
        </w:rPr>
        <w:t xml:space="preserve">, en cambio, </w:t>
      </w:r>
      <w:r w:rsidRPr="00517388">
        <w:rPr>
          <w:rFonts w:ascii="Arial" w:hAnsi="Arial" w:cs="Arial"/>
          <w:sz w:val="24"/>
          <w:szCs w:val="24"/>
        </w:rPr>
        <w:t xml:space="preserve"> entre “</w:t>
      </w:r>
      <w:r w:rsidR="001A73E3" w:rsidRPr="00517388">
        <w:rPr>
          <w:rFonts w:ascii="Arial" w:hAnsi="Arial" w:cs="Arial"/>
          <w:sz w:val="24"/>
          <w:szCs w:val="24"/>
        </w:rPr>
        <w:t>las condiciones exigibles para el nacimiento de la obligación de prevenir</w:t>
      </w:r>
      <w:r w:rsidRPr="00517388">
        <w:rPr>
          <w:rFonts w:ascii="Arial" w:hAnsi="Arial" w:cs="Arial"/>
          <w:sz w:val="24"/>
          <w:szCs w:val="24"/>
        </w:rPr>
        <w:t>” y la “c</w:t>
      </w:r>
      <w:r w:rsidR="001A73E3" w:rsidRPr="00517388">
        <w:rPr>
          <w:rFonts w:ascii="Arial" w:hAnsi="Arial" w:cs="Arial"/>
          <w:sz w:val="24"/>
          <w:szCs w:val="24"/>
        </w:rPr>
        <w:t>ausal de exclusión de la ilicitud de su violación</w:t>
      </w:r>
      <w:r w:rsidRPr="00517388">
        <w:rPr>
          <w:rFonts w:ascii="Arial" w:hAnsi="Arial" w:cs="Arial"/>
          <w:sz w:val="24"/>
          <w:szCs w:val="24"/>
        </w:rPr>
        <w:t xml:space="preserve">”, concluyendo que si bien “el </w:t>
      </w:r>
      <w:r w:rsidR="001A73E3" w:rsidRPr="00517388">
        <w:rPr>
          <w:rFonts w:ascii="Arial" w:hAnsi="Arial" w:cs="Arial"/>
          <w:sz w:val="24"/>
          <w:szCs w:val="24"/>
        </w:rPr>
        <w:t>conocimiento previo del riesgo y la individualización de la persona que eventualmente va sufrir el daño constituyen las condiciones para que surja la obligación de prevenir</w:t>
      </w:r>
      <w:r w:rsidRPr="00517388">
        <w:rPr>
          <w:rFonts w:ascii="Arial" w:hAnsi="Arial" w:cs="Arial"/>
          <w:sz w:val="24"/>
          <w:szCs w:val="24"/>
        </w:rPr>
        <w:t xml:space="preserve">”, la adopción </w:t>
      </w:r>
      <w:r w:rsidR="00687EA0" w:rsidRPr="00517388">
        <w:rPr>
          <w:rFonts w:ascii="Arial" w:hAnsi="Arial" w:cs="Arial"/>
          <w:sz w:val="24"/>
          <w:szCs w:val="24"/>
        </w:rPr>
        <w:t>d</w:t>
      </w:r>
      <w:r w:rsidRPr="00517388">
        <w:rPr>
          <w:rFonts w:ascii="Arial" w:hAnsi="Arial" w:cs="Arial"/>
          <w:sz w:val="24"/>
          <w:szCs w:val="24"/>
        </w:rPr>
        <w:t xml:space="preserve">e medidas razonables por el Estado </w:t>
      </w:r>
      <w:r w:rsidR="00687EA0" w:rsidRPr="00517388">
        <w:rPr>
          <w:rFonts w:ascii="Arial" w:hAnsi="Arial" w:cs="Arial"/>
          <w:sz w:val="24"/>
          <w:szCs w:val="24"/>
        </w:rPr>
        <w:t>“</w:t>
      </w:r>
      <w:r w:rsidR="001A73E3" w:rsidRPr="00517388">
        <w:rPr>
          <w:rFonts w:ascii="Arial" w:hAnsi="Arial" w:cs="Arial"/>
          <w:sz w:val="24"/>
          <w:szCs w:val="24"/>
        </w:rPr>
        <w:t>no constituye una condición para el surgimiento de la obligación de prevenir</w:t>
      </w:r>
      <w:r w:rsidR="00687EA0" w:rsidRPr="00517388">
        <w:rPr>
          <w:rFonts w:ascii="Arial" w:hAnsi="Arial" w:cs="Arial"/>
          <w:sz w:val="24"/>
          <w:szCs w:val="24"/>
        </w:rPr>
        <w:t>”</w:t>
      </w:r>
      <w:r w:rsidR="001A73E3" w:rsidRPr="00517388">
        <w:rPr>
          <w:rFonts w:ascii="Arial" w:hAnsi="Arial" w:cs="Arial"/>
          <w:sz w:val="24"/>
          <w:szCs w:val="24"/>
        </w:rPr>
        <w:t xml:space="preserve"> como errón</w:t>
      </w:r>
      <w:r w:rsidR="00687EA0" w:rsidRPr="00517388">
        <w:rPr>
          <w:rFonts w:ascii="Arial" w:hAnsi="Arial" w:cs="Arial"/>
          <w:sz w:val="24"/>
          <w:szCs w:val="24"/>
        </w:rPr>
        <w:t>eamente ha considerado la CIDH, sino que “con</w:t>
      </w:r>
      <w:r w:rsidR="001A73E3" w:rsidRPr="00517388">
        <w:rPr>
          <w:rFonts w:ascii="Arial" w:hAnsi="Arial" w:cs="Arial"/>
          <w:sz w:val="24"/>
          <w:szCs w:val="24"/>
        </w:rPr>
        <w:t>stituye un estándar de comportamiento interno de los Estado</w:t>
      </w:r>
      <w:r w:rsidR="00687EA0" w:rsidRPr="00517388">
        <w:rPr>
          <w:rFonts w:ascii="Arial" w:hAnsi="Arial" w:cs="Arial"/>
          <w:sz w:val="24"/>
          <w:szCs w:val="24"/>
        </w:rPr>
        <w:t>s</w:t>
      </w:r>
      <w:r w:rsidR="001A73E3" w:rsidRPr="00517388">
        <w:rPr>
          <w:rFonts w:ascii="Arial" w:hAnsi="Arial" w:cs="Arial"/>
          <w:sz w:val="24"/>
          <w:szCs w:val="24"/>
        </w:rPr>
        <w:t xml:space="preserve"> que da contenido a la obligación internacional de protección (prevenir y reprimir) y que permite valorar si el Estado ha cumplido el estándar de conducta esperable conforme parámetros internacional y en su caso, opera como una causal de exclusión de la ilicitud de la obligación de proteger o hace procedente la responsabilidad internacional del Estado</w:t>
      </w:r>
      <w:r w:rsidR="00687EA0" w:rsidRPr="00517388">
        <w:rPr>
          <w:rFonts w:ascii="Arial" w:hAnsi="Arial" w:cs="Arial"/>
          <w:sz w:val="24"/>
          <w:szCs w:val="24"/>
        </w:rPr>
        <w:t>”.</w:t>
      </w:r>
      <w:r w:rsidR="00687EA0" w:rsidRPr="00517388">
        <w:rPr>
          <w:rStyle w:val="Refdenotaalpie"/>
          <w:rFonts w:ascii="Arial" w:hAnsi="Arial" w:cs="Arial"/>
          <w:sz w:val="24"/>
          <w:szCs w:val="24"/>
        </w:rPr>
        <w:footnoteReference w:id="24"/>
      </w:r>
    </w:p>
    <w:p w14:paraId="21C4FB62" w14:textId="1CECA975" w:rsidR="001A73E3" w:rsidRPr="00517388" w:rsidRDefault="001A73E3" w:rsidP="00AB64B1">
      <w:pPr>
        <w:autoSpaceDE w:val="0"/>
        <w:autoSpaceDN w:val="0"/>
        <w:adjustRightInd w:val="0"/>
        <w:spacing w:after="0" w:line="240" w:lineRule="auto"/>
        <w:jc w:val="both"/>
        <w:rPr>
          <w:rFonts w:ascii="Arial" w:hAnsi="Arial" w:cs="Arial"/>
          <w:sz w:val="24"/>
          <w:szCs w:val="24"/>
        </w:rPr>
      </w:pPr>
    </w:p>
    <w:p w14:paraId="095D9405" w14:textId="05D9C56D" w:rsidR="00227BFD" w:rsidRPr="00517388" w:rsidRDefault="00B45FFB"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Hay otras opiniones que consideran a la debida diligencia como una obligación de contenido un tanto más amplio</w:t>
      </w:r>
      <w:r w:rsidR="0044587C">
        <w:rPr>
          <w:rFonts w:ascii="Arial" w:hAnsi="Arial" w:cs="Arial"/>
          <w:sz w:val="24"/>
          <w:szCs w:val="24"/>
        </w:rPr>
        <w:t>. A</w:t>
      </w:r>
      <w:r w:rsidRPr="00517388">
        <w:rPr>
          <w:rFonts w:ascii="Arial" w:hAnsi="Arial" w:cs="Arial"/>
          <w:sz w:val="24"/>
          <w:szCs w:val="24"/>
        </w:rPr>
        <w:t>sí, García Muñoz</w:t>
      </w:r>
      <w:r w:rsidRPr="00517388">
        <w:rPr>
          <w:rStyle w:val="Refdenotaalpie"/>
          <w:rFonts w:ascii="Arial" w:hAnsi="Arial" w:cs="Arial"/>
          <w:sz w:val="24"/>
          <w:szCs w:val="24"/>
        </w:rPr>
        <w:footnoteReference w:id="25"/>
      </w:r>
      <w:r w:rsidRPr="00517388">
        <w:rPr>
          <w:rFonts w:ascii="Arial" w:hAnsi="Arial" w:cs="Arial"/>
          <w:sz w:val="24"/>
          <w:szCs w:val="24"/>
        </w:rPr>
        <w:t xml:space="preserve"> ha dicho: </w:t>
      </w:r>
    </w:p>
    <w:p w14:paraId="02989D1B" w14:textId="77777777" w:rsidR="002D722F" w:rsidRPr="00517388" w:rsidRDefault="002D722F" w:rsidP="00AB64B1">
      <w:pPr>
        <w:autoSpaceDE w:val="0"/>
        <w:autoSpaceDN w:val="0"/>
        <w:adjustRightInd w:val="0"/>
        <w:spacing w:after="0" w:line="240" w:lineRule="auto"/>
        <w:jc w:val="both"/>
        <w:rPr>
          <w:rFonts w:ascii="Arial" w:hAnsi="Arial" w:cs="Arial"/>
          <w:sz w:val="24"/>
          <w:szCs w:val="24"/>
        </w:rPr>
      </w:pPr>
    </w:p>
    <w:p w14:paraId="4462A8B6" w14:textId="0E779D4C" w:rsidR="0057045F" w:rsidRPr="00517388" w:rsidRDefault="0057045F" w:rsidP="00B45FFB">
      <w:pPr>
        <w:autoSpaceDE w:val="0"/>
        <w:autoSpaceDN w:val="0"/>
        <w:adjustRightInd w:val="0"/>
        <w:spacing w:after="0" w:line="240" w:lineRule="auto"/>
        <w:ind w:left="567" w:right="566"/>
        <w:jc w:val="both"/>
        <w:rPr>
          <w:rFonts w:ascii="Arial" w:hAnsi="Arial" w:cs="Arial"/>
          <w:sz w:val="24"/>
          <w:szCs w:val="24"/>
        </w:rPr>
      </w:pPr>
      <w:r w:rsidRPr="00517388">
        <w:rPr>
          <w:rFonts w:ascii="Arial" w:hAnsi="Arial" w:cs="Arial"/>
          <w:sz w:val="24"/>
          <w:szCs w:val="24"/>
        </w:rPr>
        <w:t>desde su primera sentencia en un caso contencioso, la Corte Interamericana indicó que: El artículo 1.1 es fundamental para determinar si una violación de los derechos humanos reconocidos por la Convención puede ser atribuida a un Estado Parte. En efecto, dicho artículo pone a cargo de los Estados Partes los deberes fundamentales de respeto y de garantía, de tal modo que todo menoscabo a los derechos humanos reconocidos en la Convención que pueda ser atribuido, según las reglas del Derecho Internacional, a la acción u omisión de cualquier autoridad pública, constituye un hecho imputable al Estado que compromete su responsabilidad en los términos pre</w:t>
      </w:r>
      <w:r w:rsidR="00B45FFB" w:rsidRPr="00517388">
        <w:rPr>
          <w:rFonts w:ascii="Arial" w:hAnsi="Arial" w:cs="Arial"/>
          <w:sz w:val="24"/>
          <w:szCs w:val="24"/>
        </w:rPr>
        <w:t>vistos por la misma Convención</w:t>
      </w:r>
      <w:r w:rsidRPr="00517388">
        <w:rPr>
          <w:rFonts w:ascii="Arial" w:hAnsi="Arial" w:cs="Arial"/>
          <w:sz w:val="24"/>
          <w:szCs w:val="24"/>
        </w:rPr>
        <w:t xml:space="preserve">. La responsabilidad internacional del Estado puede basarse en actos u omisiones de cualquier poder u órgano de éste que violen la Convención </w:t>
      </w:r>
      <w:r w:rsidRPr="00517388">
        <w:rPr>
          <w:rFonts w:ascii="Arial" w:hAnsi="Arial" w:cs="Arial"/>
          <w:sz w:val="24"/>
          <w:szCs w:val="24"/>
        </w:rPr>
        <w:lastRenderedPageBreak/>
        <w:t>Americana, y se genera en forma inmediata con el ilícito internacional atribuido. En estos supuestos, para establecer que se ha producido una violación de los derechos consagrados en la Convención no se requiere determinar la culpabilidad de sus autores o su intencionalidad, tampoco es preciso identificar individualmente a los agentes a los cuales se atribuyen los hechos violatorios. Es suficiente demostrar que se han verificado acciones u omisiones del Estado que hayan permitido la perpetración de esas violaciones o que exista una obligación estatal que haya sido incumplida por éste. En definitiva, las obligaciones contenidas en los artículos 1.1 y 2 de la Convención, similar a los requerimientos generales hechos por los instrumentos internacionales de derechos humanos, constituyen la base para la determinación de responsabilidad internacional a un Estado por violaciones a la misma y exigen no sólo obligaciones negativas o de no hacer, sino también claras obligaciones positivas de hacer respetar los derechos humanos</w:t>
      </w:r>
      <w:r w:rsidR="00B45FFB" w:rsidRPr="00517388">
        <w:rPr>
          <w:rFonts w:ascii="Arial" w:hAnsi="Arial" w:cs="Arial"/>
          <w:sz w:val="24"/>
          <w:szCs w:val="24"/>
        </w:rPr>
        <w:t xml:space="preserve"> (…)</w:t>
      </w:r>
      <w:r w:rsidRPr="00517388">
        <w:rPr>
          <w:rFonts w:ascii="Arial" w:hAnsi="Arial" w:cs="Arial"/>
          <w:sz w:val="24"/>
          <w:szCs w:val="24"/>
        </w:rPr>
        <w:t xml:space="preserve"> siempre que el Estado haya actuado con falta de diligencia para prevenir razonablemente la violación o tratarla conforme a</w:t>
      </w:r>
      <w:r w:rsidR="00B45FFB" w:rsidRPr="00517388">
        <w:rPr>
          <w:rFonts w:ascii="Arial" w:hAnsi="Arial" w:cs="Arial"/>
          <w:sz w:val="24"/>
          <w:szCs w:val="24"/>
        </w:rPr>
        <w:t xml:space="preserve"> lo que establece la Convención</w:t>
      </w:r>
    </w:p>
    <w:p w14:paraId="475CF202" w14:textId="53BD23BF" w:rsidR="002D722F" w:rsidRPr="00517388" w:rsidRDefault="002D722F" w:rsidP="00AB64B1">
      <w:pPr>
        <w:autoSpaceDE w:val="0"/>
        <w:autoSpaceDN w:val="0"/>
        <w:adjustRightInd w:val="0"/>
        <w:spacing w:after="0" w:line="240" w:lineRule="auto"/>
        <w:jc w:val="both"/>
        <w:rPr>
          <w:rFonts w:ascii="Arial" w:hAnsi="Arial" w:cs="Arial"/>
          <w:sz w:val="24"/>
          <w:szCs w:val="24"/>
        </w:rPr>
      </w:pPr>
    </w:p>
    <w:p w14:paraId="5D4C343D" w14:textId="77777777" w:rsidR="00A22D85" w:rsidRPr="00517388" w:rsidRDefault="00A22D85" w:rsidP="00A22D85">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Desde el punto de vista de las normas de derecho social del sistema interamericano, el </w:t>
      </w:r>
      <w:r w:rsidR="002D722F" w:rsidRPr="00517388">
        <w:rPr>
          <w:rFonts w:ascii="Arial" w:hAnsi="Arial" w:cs="Arial"/>
          <w:sz w:val="24"/>
          <w:szCs w:val="24"/>
        </w:rPr>
        <w:t>Protocolo Adicional de la Convención Americana sobre Derechos Humanos en materia de Derechos Económicos, Sociales y Culturales (Protocolo de San Salvador) establece que los Estados deben garantizar el ejercicio de los derechos que allí se enuncian sin discriminación alguna (art.3),</w:t>
      </w:r>
      <w:r w:rsidRPr="00517388">
        <w:rPr>
          <w:rFonts w:ascii="Arial" w:hAnsi="Arial" w:cs="Arial"/>
          <w:sz w:val="24"/>
          <w:szCs w:val="24"/>
        </w:rPr>
        <w:t xml:space="preserve"> lo que implica necesariamente </w:t>
      </w:r>
      <w:r w:rsidR="002D722F" w:rsidRPr="00517388">
        <w:rPr>
          <w:rFonts w:ascii="Arial" w:hAnsi="Arial" w:cs="Arial"/>
          <w:sz w:val="24"/>
          <w:szCs w:val="24"/>
        </w:rPr>
        <w:t xml:space="preserve">la </w:t>
      </w:r>
      <w:r w:rsidRPr="00517388">
        <w:rPr>
          <w:rFonts w:ascii="Arial" w:hAnsi="Arial" w:cs="Arial"/>
          <w:sz w:val="24"/>
          <w:szCs w:val="24"/>
        </w:rPr>
        <w:t xml:space="preserve">previsión </w:t>
      </w:r>
      <w:r w:rsidR="002D722F" w:rsidRPr="00517388">
        <w:rPr>
          <w:rFonts w:ascii="Arial" w:hAnsi="Arial" w:cs="Arial"/>
          <w:sz w:val="24"/>
          <w:szCs w:val="24"/>
        </w:rPr>
        <w:t>de medidas de protección ante actos de terceros</w:t>
      </w:r>
      <w:r w:rsidRPr="00517388">
        <w:rPr>
          <w:rFonts w:ascii="Arial" w:hAnsi="Arial" w:cs="Arial"/>
          <w:sz w:val="24"/>
          <w:szCs w:val="24"/>
        </w:rPr>
        <w:t>, en nuestro caso, las empresas, que constituyen un actor fundamental en el campo de las relaciones económicas y sociales.</w:t>
      </w:r>
    </w:p>
    <w:p w14:paraId="5DAB7891" w14:textId="4F7CF029" w:rsidR="002D722F" w:rsidRPr="00517388" w:rsidRDefault="00A22D85" w:rsidP="00A22D85">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 </w:t>
      </w:r>
    </w:p>
    <w:p w14:paraId="1A386D1B" w14:textId="77777777" w:rsidR="00A22D85" w:rsidRPr="00517388" w:rsidRDefault="00A22D85"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La Relatoría de Derechos Económicos, Sociales, Culturales y Ambientales ha sistematizado las o</w:t>
      </w:r>
      <w:r w:rsidR="002D722F" w:rsidRPr="00517388">
        <w:rPr>
          <w:rFonts w:ascii="Arial" w:hAnsi="Arial" w:cs="Arial"/>
          <w:sz w:val="24"/>
          <w:szCs w:val="24"/>
        </w:rPr>
        <w:t>bligaciones de los Estados respecto de la actividad de las empresas y los  D</w:t>
      </w:r>
      <w:r w:rsidRPr="00517388">
        <w:rPr>
          <w:rFonts w:ascii="Arial" w:hAnsi="Arial" w:cs="Arial"/>
          <w:sz w:val="24"/>
          <w:szCs w:val="24"/>
        </w:rPr>
        <w:t>erechos Humanos concluyendo que se trata de:</w:t>
      </w:r>
    </w:p>
    <w:p w14:paraId="0195146F" w14:textId="77777777" w:rsidR="00A22D85" w:rsidRPr="00517388" w:rsidRDefault="00A22D85" w:rsidP="00AB64B1">
      <w:pPr>
        <w:autoSpaceDE w:val="0"/>
        <w:autoSpaceDN w:val="0"/>
        <w:adjustRightInd w:val="0"/>
        <w:spacing w:after="0" w:line="240" w:lineRule="auto"/>
        <w:jc w:val="both"/>
        <w:rPr>
          <w:rFonts w:ascii="Arial" w:hAnsi="Arial" w:cs="Arial"/>
          <w:sz w:val="24"/>
          <w:szCs w:val="24"/>
        </w:rPr>
      </w:pPr>
    </w:p>
    <w:p w14:paraId="565A21C9" w14:textId="0290FCCC" w:rsidR="00A22D85" w:rsidRPr="00517388" w:rsidRDefault="00A22D85" w:rsidP="00AB64B1">
      <w:pPr>
        <w:pStyle w:val="Prrafodelista"/>
        <w:numPr>
          <w:ilvl w:val="0"/>
          <w:numId w:val="11"/>
        </w:numPr>
        <w:autoSpaceDE w:val="0"/>
        <w:autoSpaceDN w:val="0"/>
        <w:adjustRightInd w:val="0"/>
        <w:spacing w:after="0" w:line="240" w:lineRule="auto"/>
        <w:jc w:val="both"/>
        <w:rPr>
          <w:rFonts w:ascii="Arial" w:hAnsi="Arial" w:cs="Arial"/>
          <w:sz w:val="24"/>
          <w:szCs w:val="24"/>
          <w:lang w:val="es-UY"/>
        </w:rPr>
      </w:pPr>
      <w:r w:rsidRPr="00517388">
        <w:rPr>
          <w:rFonts w:ascii="Arial" w:hAnsi="Arial" w:cs="Arial"/>
          <w:sz w:val="24"/>
          <w:szCs w:val="24"/>
          <w:lang w:val="es-UY"/>
        </w:rPr>
        <w:t>“Re</w:t>
      </w:r>
      <w:r w:rsidR="0014090C" w:rsidRPr="00517388">
        <w:rPr>
          <w:rFonts w:ascii="Arial" w:hAnsi="Arial" w:cs="Arial"/>
          <w:sz w:val="24"/>
          <w:szCs w:val="24"/>
          <w:lang w:val="es-UY"/>
        </w:rPr>
        <w:t>s</w:t>
      </w:r>
      <w:r w:rsidRPr="00517388">
        <w:rPr>
          <w:rFonts w:ascii="Arial" w:hAnsi="Arial" w:cs="Arial"/>
          <w:sz w:val="24"/>
          <w:szCs w:val="24"/>
          <w:lang w:val="es-UY"/>
        </w:rPr>
        <w:t xml:space="preserve">petar” los </w:t>
      </w:r>
      <w:r w:rsidR="002D722F" w:rsidRPr="00517388">
        <w:rPr>
          <w:rFonts w:ascii="Arial" w:hAnsi="Arial" w:cs="Arial"/>
          <w:sz w:val="24"/>
          <w:szCs w:val="24"/>
          <w:lang w:val="es-UY"/>
        </w:rPr>
        <w:t>D</w:t>
      </w:r>
      <w:r w:rsidRPr="00517388">
        <w:rPr>
          <w:rFonts w:ascii="Arial" w:hAnsi="Arial" w:cs="Arial"/>
          <w:sz w:val="24"/>
          <w:szCs w:val="24"/>
          <w:lang w:val="es-UY"/>
        </w:rPr>
        <w:t xml:space="preserve">erechos </w:t>
      </w:r>
      <w:r w:rsidR="002D722F" w:rsidRPr="00517388">
        <w:rPr>
          <w:rFonts w:ascii="Arial" w:hAnsi="Arial" w:cs="Arial"/>
          <w:sz w:val="24"/>
          <w:szCs w:val="24"/>
          <w:lang w:val="es-UY"/>
        </w:rPr>
        <w:t>H</w:t>
      </w:r>
      <w:r w:rsidRPr="00517388">
        <w:rPr>
          <w:rFonts w:ascii="Arial" w:hAnsi="Arial" w:cs="Arial"/>
          <w:sz w:val="24"/>
          <w:szCs w:val="24"/>
          <w:lang w:val="es-UY"/>
        </w:rPr>
        <w:t xml:space="preserve">umanos, entendiendo por tal la obligación del Estado de abstenerse de desplegar </w:t>
      </w:r>
      <w:r w:rsidR="002D722F" w:rsidRPr="00517388">
        <w:rPr>
          <w:rFonts w:ascii="Arial" w:hAnsi="Arial" w:cs="Arial"/>
          <w:sz w:val="24"/>
          <w:szCs w:val="24"/>
          <w:lang w:val="es-UY"/>
        </w:rPr>
        <w:t>conductas vinculadas a actividades empresariales que contravengan el ejercicio de los derechos humanos</w:t>
      </w:r>
      <w:r w:rsidRPr="00517388">
        <w:rPr>
          <w:rFonts w:ascii="Arial" w:hAnsi="Arial" w:cs="Arial"/>
          <w:sz w:val="24"/>
          <w:szCs w:val="24"/>
          <w:lang w:val="es-UY"/>
        </w:rPr>
        <w:t>;</w:t>
      </w:r>
    </w:p>
    <w:p w14:paraId="59E99BD4" w14:textId="77777777" w:rsidR="00A22D85" w:rsidRPr="00517388" w:rsidRDefault="00A22D85" w:rsidP="00A22D85">
      <w:pPr>
        <w:pStyle w:val="Prrafodelista"/>
        <w:autoSpaceDE w:val="0"/>
        <w:autoSpaceDN w:val="0"/>
        <w:adjustRightInd w:val="0"/>
        <w:spacing w:after="0" w:line="240" w:lineRule="auto"/>
        <w:jc w:val="both"/>
        <w:rPr>
          <w:rFonts w:ascii="Arial" w:hAnsi="Arial" w:cs="Arial"/>
          <w:sz w:val="24"/>
          <w:szCs w:val="24"/>
          <w:lang w:val="es-UY"/>
        </w:rPr>
      </w:pPr>
    </w:p>
    <w:p w14:paraId="0C3CFF65" w14:textId="6161B5BC" w:rsidR="002D722F" w:rsidRPr="00517388" w:rsidRDefault="00A22D85" w:rsidP="00AB64B1">
      <w:pPr>
        <w:pStyle w:val="Prrafodelista"/>
        <w:numPr>
          <w:ilvl w:val="0"/>
          <w:numId w:val="11"/>
        </w:num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lang w:val="es-UY"/>
        </w:rPr>
        <w:t>“Garantizar”, que implica “</w:t>
      </w:r>
      <w:r w:rsidR="002D722F" w:rsidRPr="00517388">
        <w:rPr>
          <w:rFonts w:ascii="Arial" w:hAnsi="Arial" w:cs="Arial"/>
          <w:sz w:val="24"/>
          <w:szCs w:val="24"/>
          <w:lang w:val="es-UY"/>
        </w:rPr>
        <w:t xml:space="preserve">el deber de los Estados Partes de organizar </w:t>
      </w:r>
      <w:r w:rsidR="002D722F" w:rsidRPr="00517388">
        <w:rPr>
          <w:rFonts w:ascii="Arial" w:hAnsi="Arial" w:cs="Arial"/>
          <w:sz w:val="24"/>
          <w:szCs w:val="24"/>
        </w:rPr>
        <w:t>todo el aparato gubernamental y, en general, todas las estructuras a través de las cuales se manifiesta el ejercicio del poder público, de manera tal que sean capaces de asegurar jurídicamente el libre y pleno ejercicio de los derechos humanos. Como consecuencia de esta obligación los Estados deben actuar con debida diligencia para prevenir, investigar y sancionar toda violación de los derechos reconocidos por la Convención y procurar, además, la restitución, si es posible, del derecho conculcado y, en su caso, la reparación de los daños producidos por la violación de los derechos humanos</w:t>
      </w:r>
      <w:r w:rsidR="006B609A" w:rsidRPr="00517388">
        <w:rPr>
          <w:rFonts w:ascii="Arial" w:hAnsi="Arial" w:cs="Arial"/>
          <w:sz w:val="24"/>
          <w:szCs w:val="24"/>
        </w:rPr>
        <w:t>”.</w:t>
      </w:r>
      <w:r w:rsidR="006B609A" w:rsidRPr="00517388">
        <w:rPr>
          <w:rStyle w:val="Refdenotaalpie"/>
          <w:rFonts w:ascii="Arial" w:hAnsi="Arial" w:cs="Arial"/>
          <w:sz w:val="24"/>
          <w:szCs w:val="24"/>
        </w:rPr>
        <w:footnoteReference w:id="26"/>
      </w:r>
      <w:r w:rsidR="006B609A" w:rsidRPr="00517388">
        <w:rPr>
          <w:rFonts w:ascii="Arial" w:hAnsi="Arial" w:cs="Arial"/>
          <w:sz w:val="24"/>
          <w:szCs w:val="24"/>
        </w:rPr>
        <w:t xml:space="preserve"> </w:t>
      </w:r>
    </w:p>
    <w:p w14:paraId="16A4E82F" w14:textId="77777777" w:rsidR="008B24B0" w:rsidRPr="00517388" w:rsidRDefault="008B24B0" w:rsidP="00AB64B1">
      <w:pPr>
        <w:pStyle w:val="Prrafodelista"/>
        <w:autoSpaceDE w:val="0"/>
        <w:autoSpaceDN w:val="0"/>
        <w:adjustRightInd w:val="0"/>
        <w:spacing w:after="0" w:line="240" w:lineRule="auto"/>
        <w:jc w:val="both"/>
        <w:rPr>
          <w:rFonts w:ascii="Arial" w:hAnsi="Arial" w:cs="Arial"/>
          <w:sz w:val="24"/>
          <w:szCs w:val="24"/>
          <w:lang w:val="es-UY"/>
        </w:rPr>
      </w:pPr>
    </w:p>
    <w:p w14:paraId="18316132" w14:textId="60D59D13" w:rsidR="008B24B0" w:rsidRPr="00517388" w:rsidRDefault="008B24B0" w:rsidP="00A22D85">
      <w:pPr>
        <w:pStyle w:val="Prrafodelista"/>
        <w:numPr>
          <w:ilvl w:val="0"/>
          <w:numId w:val="11"/>
        </w:numPr>
        <w:autoSpaceDE w:val="0"/>
        <w:autoSpaceDN w:val="0"/>
        <w:adjustRightInd w:val="0"/>
        <w:spacing w:after="0" w:line="240" w:lineRule="auto"/>
        <w:jc w:val="both"/>
        <w:rPr>
          <w:rFonts w:ascii="Arial" w:hAnsi="Arial" w:cs="Arial"/>
          <w:sz w:val="24"/>
          <w:szCs w:val="24"/>
          <w:lang w:val="es-UY"/>
        </w:rPr>
      </w:pPr>
      <w:r w:rsidRPr="00517388">
        <w:rPr>
          <w:rFonts w:ascii="Arial" w:hAnsi="Arial" w:cs="Arial"/>
          <w:sz w:val="24"/>
          <w:szCs w:val="24"/>
          <w:lang w:val="es-UY"/>
        </w:rPr>
        <w:lastRenderedPageBreak/>
        <w:t>Investigar, sancionar y garantizar el acceso a mecanismos de reparación</w:t>
      </w:r>
      <w:r w:rsidR="006B609A" w:rsidRPr="00517388">
        <w:rPr>
          <w:rFonts w:ascii="Arial" w:hAnsi="Arial" w:cs="Arial"/>
          <w:sz w:val="24"/>
          <w:szCs w:val="24"/>
          <w:lang w:val="es-UY"/>
        </w:rPr>
        <w:t xml:space="preserve"> en el ámbito de empresas y Derechos Humanos.</w:t>
      </w:r>
    </w:p>
    <w:p w14:paraId="53A4E2FC" w14:textId="77A4D08F" w:rsidR="002D722F" w:rsidRPr="00517388" w:rsidRDefault="002D722F" w:rsidP="00AB64B1">
      <w:pPr>
        <w:autoSpaceDE w:val="0"/>
        <w:autoSpaceDN w:val="0"/>
        <w:adjustRightInd w:val="0"/>
        <w:spacing w:after="0" w:line="240" w:lineRule="auto"/>
        <w:jc w:val="both"/>
        <w:rPr>
          <w:rFonts w:ascii="Arial" w:hAnsi="Arial" w:cs="Arial"/>
          <w:sz w:val="24"/>
          <w:szCs w:val="24"/>
        </w:rPr>
      </w:pPr>
    </w:p>
    <w:p w14:paraId="7BF4CDD0" w14:textId="77777777" w:rsidR="00DA044D" w:rsidRPr="00517388" w:rsidRDefault="00DA044D" w:rsidP="00AB64B1">
      <w:pPr>
        <w:autoSpaceDE w:val="0"/>
        <w:autoSpaceDN w:val="0"/>
        <w:adjustRightInd w:val="0"/>
        <w:spacing w:after="0" w:line="240" w:lineRule="auto"/>
        <w:jc w:val="both"/>
        <w:rPr>
          <w:rFonts w:ascii="Arial" w:hAnsi="Arial" w:cs="Arial"/>
          <w:sz w:val="24"/>
          <w:szCs w:val="24"/>
        </w:rPr>
      </w:pPr>
    </w:p>
    <w:p w14:paraId="2FDFD65D" w14:textId="0518B635" w:rsidR="00925281" w:rsidRPr="00517388" w:rsidRDefault="006B609A" w:rsidP="006B609A">
      <w:pPr>
        <w:autoSpaceDE w:val="0"/>
        <w:autoSpaceDN w:val="0"/>
        <w:adjustRightInd w:val="0"/>
        <w:spacing w:after="0" w:line="240" w:lineRule="auto"/>
        <w:jc w:val="both"/>
        <w:rPr>
          <w:rFonts w:ascii="Arial" w:hAnsi="Arial" w:cs="Arial"/>
          <w:b/>
          <w:sz w:val="24"/>
          <w:szCs w:val="24"/>
        </w:rPr>
      </w:pPr>
      <w:r w:rsidRPr="00517388">
        <w:rPr>
          <w:rFonts w:ascii="Arial" w:hAnsi="Arial" w:cs="Arial"/>
          <w:b/>
          <w:sz w:val="24"/>
          <w:szCs w:val="24"/>
        </w:rPr>
        <w:t>IV. Consideraciones finales</w:t>
      </w:r>
    </w:p>
    <w:p w14:paraId="1E43B365" w14:textId="2645D8F9" w:rsidR="00925281" w:rsidRPr="00517388" w:rsidRDefault="00925281" w:rsidP="00AB64B1">
      <w:pPr>
        <w:autoSpaceDE w:val="0"/>
        <w:autoSpaceDN w:val="0"/>
        <w:adjustRightInd w:val="0"/>
        <w:spacing w:after="0" w:line="240" w:lineRule="auto"/>
        <w:jc w:val="both"/>
        <w:rPr>
          <w:rFonts w:ascii="Arial" w:hAnsi="Arial" w:cs="Arial"/>
          <w:sz w:val="24"/>
          <w:szCs w:val="24"/>
        </w:rPr>
      </w:pPr>
    </w:p>
    <w:p w14:paraId="4B70FAB3" w14:textId="19872AD9" w:rsidR="00B24AA2" w:rsidRPr="00517388" w:rsidRDefault="00B24AA2"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Al término de este periplo por el trayecto de “debida diligencia” toca cerrar algunas conclusiones necesariamente preliminares pue</w:t>
      </w:r>
      <w:r w:rsidR="00923E56">
        <w:rPr>
          <w:rFonts w:ascii="Arial" w:hAnsi="Arial" w:cs="Arial"/>
          <w:sz w:val="24"/>
          <w:szCs w:val="24"/>
        </w:rPr>
        <w:t xml:space="preserve">sto que el término tiene “vida”, está “en movimiento” </w:t>
      </w:r>
      <w:r w:rsidRPr="00517388">
        <w:rPr>
          <w:rFonts w:ascii="Arial" w:hAnsi="Arial" w:cs="Arial"/>
          <w:sz w:val="24"/>
          <w:szCs w:val="24"/>
        </w:rPr>
        <w:t xml:space="preserve">y </w:t>
      </w:r>
      <w:r w:rsidR="00923E56">
        <w:rPr>
          <w:rFonts w:ascii="Arial" w:hAnsi="Arial" w:cs="Arial"/>
          <w:sz w:val="24"/>
          <w:szCs w:val="24"/>
        </w:rPr>
        <w:t xml:space="preserve">figura </w:t>
      </w:r>
      <w:r w:rsidRPr="00517388">
        <w:rPr>
          <w:rFonts w:ascii="Arial" w:hAnsi="Arial" w:cs="Arial"/>
          <w:sz w:val="24"/>
          <w:szCs w:val="24"/>
        </w:rPr>
        <w:t xml:space="preserve">hoy mismo </w:t>
      </w:r>
      <w:r w:rsidR="00923E56">
        <w:rPr>
          <w:rFonts w:ascii="Arial" w:hAnsi="Arial" w:cs="Arial"/>
          <w:sz w:val="24"/>
          <w:szCs w:val="24"/>
        </w:rPr>
        <w:t xml:space="preserve">como elemento controversial </w:t>
      </w:r>
      <w:r w:rsidRPr="00517388">
        <w:rPr>
          <w:rFonts w:ascii="Arial" w:hAnsi="Arial" w:cs="Arial"/>
          <w:sz w:val="24"/>
          <w:szCs w:val="24"/>
        </w:rPr>
        <w:t>en los debates sobre el alcance de la responsabilidad de las actividades empresariales en las Naciones Unidas</w:t>
      </w:r>
      <w:r w:rsidR="0014090C" w:rsidRPr="00517388">
        <w:rPr>
          <w:rFonts w:ascii="Arial" w:hAnsi="Arial" w:cs="Arial"/>
          <w:sz w:val="24"/>
          <w:szCs w:val="24"/>
        </w:rPr>
        <w:t>,</w:t>
      </w:r>
      <w:r w:rsidRPr="00517388">
        <w:rPr>
          <w:rFonts w:ascii="Arial" w:hAnsi="Arial" w:cs="Arial"/>
          <w:sz w:val="24"/>
          <w:szCs w:val="24"/>
        </w:rPr>
        <w:t xml:space="preserve"> con base en el llamado “segundo borrador” de discusión sobre la posibilidad de acordar un tratado vinculante sobre empresas y Derechos Humanos.</w:t>
      </w:r>
    </w:p>
    <w:p w14:paraId="760A21C1" w14:textId="77777777" w:rsidR="00B24AA2" w:rsidRPr="00517388" w:rsidRDefault="00B24AA2" w:rsidP="00AB64B1">
      <w:pPr>
        <w:autoSpaceDE w:val="0"/>
        <w:autoSpaceDN w:val="0"/>
        <w:adjustRightInd w:val="0"/>
        <w:spacing w:after="0" w:line="240" w:lineRule="auto"/>
        <w:jc w:val="both"/>
        <w:rPr>
          <w:rFonts w:ascii="Arial" w:hAnsi="Arial" w:cs="Arial"/>
          <w:sz w:val="24"/>
          <w:szCs w:val="24"/>
        </w:rPr>
      </w:pPr>
    </w:p>
    <w:p w14:paraId="70AB187C" w14:textId="15BD1AE9" w:rsidR="00442273" w:rsidRPr="00517388" w:rsidRDefault="00923E56" w:rsidP="00B24AA2">
      <w:pPr>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El lento pero persistente advenimiento y consiguiente </w:t>
      </w:r>
      <w:r w:rsidR="00442273" w:rsidRPr="00517388">
        <w:rPr>
          <w:rFonts w:ascii="Arial" w:hAnsi="Arial" w:cs="Arial"/>
          <w:sz w:val="24"/>
          <w:szCs w:val="24"/>
        </w:rPr>
        <w:t xml:space="preserve">recepción de la </w:t>
      </w:r>
      <w:r>
        <w:rPr>
          <w:rFonts w:ascii="Arial" w:hAnsi="Arial" w:cs="Arial"/>
          <w:sz w:val="24"/>
          <w:szCs w:val="24"/>
        </w:rPr>
        <w:t>“</w:t>
      </w:r>
      <w:r w:rsidR="00442273" w:rsidRPr="00517388">
        <w:rPr>
          <w:rFonts w:ascii="Arial" w:hAnsi="Arial" w:cs="Arial"/>
          <w:sz w:val="24"/>
          <w:szCs w:val="24"/>
        </w:rPr>
        <w:t>debida diligencia</w:t>
      </w:r>
      <w:r>
        <w:rPr>
          <w:rFonts w:ascii="Arial" w:hAnsi="Arial" w:cs="Arial"/>
          <w:sz w:val="24"/>
          <w:szCs w:val="24"/>
        </w:rPr>
        <w:t>”</w:t>
      </w:r>
      <w:r w:rsidR="00442273" w:rsidRPr="00517388">
        <w:rPr>
          <w:rFonts w:ascii="Arial" w:hAnsi="Arial" w:cs="Arial"/>
          <w:sz w:val="24"/>
          <w:szCs w:val="24"/>
        </w:rPr>
        <w:t xml:space="preserve"> como un tipo de obligación a cargo de las empresas</w:t>
      </w:r>
      <w:r>
        <w:rPr>
          <w:rFonts w:ascii="Arial" w:hAnsi="Arial" w:cs="Arial"/>
          <w:sz w:val="24"/>
          <w:szCs w:val="24"/>
        </w:rPr>
        <w:t xml:space="preserve"> -</w:t>
      </w:r>
      <w:r w:rsidR="00442273" w:rsidRPr="00517388">
        <w:rPr>
          <w:rFonts w:ascii="Arial" w:hAnsi="Arial" w:cs="Arial"/>
          <w:sz w:val="24"/>
          <w:szCs w:val="24"/>
        </w:rPr>
        <w:t xml:space="preserve"> al menos en lo relativo a</w:t>
      </w:r>
      <w:r>
        <w:rPr>
          <w:rFonts w:ascii="Arial" w:hAnsi="Arial" w:cs="Arial"/>
          <w:sz w:val="24"/>
          <w:szCs w:val="24"/>
        </w:rPr>
        <w:t xml:space="preserve"> </w:t>
      </w:r>
      <w:r w:rsidR="00442273" w:rsidRPr="00517388">
        <w:rPr>
          <w:rFonts w:ascii="Arial" w:hAnsi="Arial" w:cs="Arial"/>
          <w:sz w:val="24"/>
          <w:szCs w:val="24"/>
        </w:rPr>
        <w:t>los D</w:t>
      </w:r>
      <w:r w:rsidR="0014090C" w:rsidRPr="00517388">
        <w:rPr>
          <w:rFonts w:ascii="Arial" w:hAnsi="Arial" w:cs="Arial"/>
          <w:sz w:val="24"/>
          <w:szCs w:val="24"/>
        </w:rPr>
        <w:t>DHH</w:t>
      </w:r>
      <w:r>
        <w:rPr>
          <w:rFonts w:ascii="Arial" w:hAnsi="Arial" w:cs="Arial"/>
          <w:sz w:val="24"/>
          <w:szCs w:val="24"/>
        </w:rPr>
        <w:t xml:space="preserve"> – hace que corresponda interrogarnos si en definitiva este avance no terminará abarcando otros derechos y obligaciones de la relación de trabajo, extramuros</w:t>
      </w:r>
      <w:r w:rsidR="00442273" w:rsidRPr="00517388">
        <w:rPr>
          <w:rFonts w:ascii="Arial" w:hAnsi="Arial" w:cs="Arial"/>
          <w:sz w:val="24"/>
          <w:szCs w:val="24"/>
        </w:rPr>
        <w:t xml:space="preserve"> de los Derechos Fundamentales.</w:t>
      </w:r>
    </w:p>
    <w:p w14:paraId="5276BC1F" w14:textId="77777777" w:rsidR="00442273" w:rsidRPr="00517388" w:rsidRDefault="00442273" w:rsidP="00B24AA2">
      <w:pPr>
        <w:autoSpaceDE w:val="0"/>
        <w:autoSpaceDN w:val="0"/>
        <w:adjustRightInd w:val="0"/>
        <w:spacing w:after="0" w:line="240" w:lineRule="auto"/>
        <w:jc w:val="both"/>
        <w:rPr>
          <w:rFonts w:ascii="Arial" w:hAnsi="Arial" w:cs="Arial"/>
          <w:sz w:val="24"/>
          <w:szCs w:val="24"/>
        </w:rPr>
      </w:pPr>
    </w:p>
    <w:p w14:paraId="74B77396" w14:textId="77777777" w:rsidR="00442273" w:rsidRPr="00517388" w:rsidRDefault="00442273" w:rsidP="00B24AA2">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Veamos algunas conclusiones preliminares que surgen de nuestro estudio</w:t>
      </w:r>
    </w:p>
    <w:p w14:paraId="51AC962D" w14:textId="3CDA479D" w:rsidR="00B24AA2" w:rsidRPr="00517388" w:rsidRDefault="00B24AA2" w:rsidP="00B24AA2">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 </w:t>
      </w:r>
    </w:p>
    <w:p w14:paraId="60A19389" w14:textId="527F9E29" w:rsidR="00925281" w:rsidRPr="00517388" w:rsidRDefault="00B24AA2" w:rsidP="00B24AA2">
      <w:pPr>
        <w:autoSpaceDE w:val="0"/>
        <w:autoSpaceDN w:val="0"/>
        <w:adjustRightInd w:val="0"/>
        <w:spacing w:after="0" w:line="240" w:lineRule="auto"/>
        <w:jc w:val="both"/>
        <w:rPr>
          <w:rFonts w:ascii="Arial" w:hAnsi="Arial" w:cs="Arial"/>
          <w:i/>
          <w:sz w:val="24"/>
          <w:szCs w:val="24"/>
        </w:rPr>
      </w:pPr>
      <w:r w:rsidRPr="00517388">
        <w:rPr>
          <w:rFonts w:ascii="Arial" w:hAnsi="Arial" w:cs="Arial"/>
          <w:i/>
          <w:sz w:val="24"/>
          <w:szCs w:val="24"/>
        </w:rPr>
        <w:t xml:space="preserve">IV.1 </w:t>
      </w:r>
      <w:r w:rsidR="00442273" w:rsidRPr="00517388">
        <w:rPr>
          <w:rFonts w:ascii="Arial" w:hAnsi="Arial" w:cs="Arial"/>
          <w:i/>
          <w:sz w:val="24"/>
          <w:szCs w:val="24"/>
        </w:rPr>
        <w:t>Ambigüedad terminológica</w:t>
      </w:r>
    </w:p>
    <w:p w14:paraId="16D260CF" w14:textId="53F5F201" w:rsidR="00925281" w:rsidRPr="00517388" w:rsidRDefault="00925281" w:rsidP="00AB64B1">
      <w:pPr>
        <w:autoSpaceDE w:val="0"/>
        <w:autoSpaceDN w:val="0"/>
        <w:adjustRightInd w:val="0"/>
        <w:spacing w:after="0" w:line="240" w:lineRule="auto"/>
        <w:jc w:val="both"/>
        <w:rPr>
          <w:rFonts w:ascii="Arial" w:hAnsi="Arial" w:cs="Arial"/>
          <w:sz w:val="24"/>
          <w:szCs w:val="24"/>
        </w:rPr>
      </w:pPr>
    </w:p>
    <w:p w14:paraId="76AC0023" w14:textId="77777777" w:rsidR="00442273" w:rsidRPr="00517388" w:rsidRDefault="00442273"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Podría decirse que es “pacífico” entender que estamos ante un término ambiguo en tanto su noción y alcance son imprecisos o no están suficientemente maduros.</w:t>
      </w:r>
    </w:p>
    <w:p w14:paraId="5032E1FB" w14:textId="77777777" w:rsidR="00442273" w:rsidRPr="00517388" w:rsidRDefault="00442273" w:rsidP="00AB64B1">
      <w:pPr>
        <w:autoSpaceDE w:val="0"/>
        <w:autoSpaceDN w:val="0"/>
        <w:adjustRightInd w:val="0"/>
        <w:spacing w:after="0" w:line="240" w:lineRule="auto"/>
        <w:jc w:val="both"/>
        <w:rPr>
          <w:rFonts w:ascii="Arial" w:hAnsi="Arial" w:cs="Arial"/>
          <w:sz w:val="24"/>
          <w:szCs w:val="24"/>
        </w:rPr>
      </w:pPr>
    </w:p>
    <w:p w14:paraId="1F7EC524" w14:textId="6B00BC28" w:rsidR="00436B0C" w:rsidRPr="00517388" w:rsidRDefault="00436B0C"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El problema de la indefinición es que</w:t>
      </w:r>
      <w:r w:rsidR="0014090C" w:rsidRPr="00517388">
        <w:rPr>
          <w:rFonts w:ascii="Arial" w:hAnsi="Arial" w:cs="Arial"/>
          <w:sz w:val="24"/>
          <w:szCs w:val="24"/>
        </w:rPr>
        <w:t>,</w:t>
      </w:r>
      <w:r w:rsidRPr="00517388">
        <w:rPr>
          <w:rFonts w:ascii="Arial" w:hAnsi="Arial" w:cs="Arial"/>
          <w:sz w:val="24"/>
          <w:szCs w:val="24"/>
        </w:rPr>
        <w:t xml:space="preserve"> más que una obligación s</w:t>
      </w:r>
      <w:r w:rsidR="0014090C" w:rsidRPr="00517388">
        <w:rPr>
          <w:rFonts w:ascii="Arial" w:hAnsi="Arial" w:cs="Arial"/>
          <w:sz w:val="24"/>
          <w:szCs w:val="24"/>
        </w:rPr>
        <w:t>ingular</w:t>
      </w:r>
      <w:r w:rsidRPr="00517388">
        <w:rPr>
          <w:rFonts w:ascii="Arial" w:hAnsi="Arial" w:cs="Arial"/>
          <w:sz w:val="24"/>
          <w:szCs w:val="24"/>
        </w:rPr>
        <w:t>, la debida diligencia es un</w:t>
      </w:r>
      <w:r w:rsidR="00923E56">
        <w:rPr>
          <w:rFonts w:ascii="Arial" w:hAnsi="Arial" w:cs="Arial"/>
          <w:sz w:val="24"/>
          <w:szCs w:val="24"/>
        </w:rPr>
        <w:t xml:space="preserve"> rasero, un</w:t>
      </w:r>
      <w:r w:rsidRPr="00517388">
        <w:rPr>
          <w:rFonts w:ascii="Arial" w:hAnsi="Arial" w:cs="Arial"/>
          <w:sz w:val="24"/>
          <w:szCs w:val="24"/>
        </w:rPr>
        <w:t>a medida o grado de exigibilidad de una obli</w:t>
      </w:r>
      <w:r w:rsidR="00923E56">
        <w:rPr>
          <w:rFonts w:ascii="Arial" w:hAnsi="Arial" w:cs="Arial"/>
          <w:sz w:val="24"/>
          <w:szCs w:val="24"/>
        </w:rPr>
        <w:t>gación de fondo, y por derivación</w:t>
      </w:r>
      <w:r w:rsidRPr="00517388">
        <w:rPr>
          <w:rFonts w:ascii="Arial" w:hAnsi="Arial" w:cs="Arial"/>
          <w:sz w:val="24"/>
          <w:szCs w:val="24"/>
        </w:rPr>
        <w:t>, la</w:t>
      </w:r>
      <w:r w:rsidR="00923E56">
        <w:rPr>
          <w:rFonts w:ascii="Arial" w:hAnsi="Arial" w:cs="Arial"/>
          <w:sz w:val="24"/>
          <w:szCs w:val="24"/>
        </w:rPr>
        <w:t xml:space="preserve"> opción por una</w:t>
      </w:r>
      <w:r w:rsidR="00D8576F">
        <w:rPr>
          <w:rFonts w:ascii="Arial" w:hAnsi="Arial" w:cs="Arial"/>
          <w:sz w:val="24"/>
          <w:szCs w:val="24"/>
        </w:rPr>
        <w:t xml:space="preserve"> fijación de </w:t>
      </w:r>
      <w:r w:rsidRPr="00517388">
        <w:rPr>
          <w:rFonts w:ascii="Arial" w:hAnsi="Arial" w:cs="Arial"/>
          <w:sz w:val="24"/>
          <w:szCs w:val="24"/>
        </w:rPr>
        <w:t>un estándar “soft” o “hard” despliega consecuencias en el plano</w:t>
      </w:r>
      <w:r w:rsidR="00923E56">
        <w:rPr>
          <w:rFonts w:ascii="Arial" w:hAnsi="Arial" w:cs="Arial"/>
          <w:sz w:val="24"/>
          <w:szCs w:val="24"/>
        </w:rPr>
        <w:t xml:space="preserve"> ya sea de</w:t>
      </w:r>
      <w:r w:rsidR="00D8576F">
        <w:rPr>
          <w:rFonts w:ascii="Arial" w:hAnsi="Arial" w:cs="Arial"/>
          <w:sz w:val="24"/>
          <w:szCs w:val="24"/>
        </w:rPr>
        <w:t xml:space="preserve">: a) </w:t>
      </w:r>
      <w:r w:rsidR="00923E56">
        <w:rPr>
          <w:rFonts w:ascii="Arial" w:hAnsi="Arial" w:cs="Arial"/>
          <w:sz w:val="24"/>
          <w:szCs w:val="24"/>
        </w:rPr>
        <w:t xml:space="preserve"> “hacer lo posible” o “razonable” con los “medios disponibles” o por el contrario</w:t>
      </w:r>
      <w:r w:rsidR="00D8576F">
        <w:rPr>
          <w:rFonts w:ascii="Arial" w:hAnsi="Arial" w:cs="Arial"/>
          <w:sz w:val="24"/>
          <w:szCs w:val="24"/>
        </w:rPr>
        <w:t xml:space="preserve">, </w:t>
      </w:r>
      <w:r w:rsidR="00923E56">
        <w:rPr>
          <w:rFonts w:ascii="Arial" w:hAnsi="Arial" w:cs="Arial"/>
          <w:sz w:val="24"/>
          <w:szCs w:val="24"/>
        </w:rPr>
        <w:t xml:space="preserve"> </w:t>
      </w:r>
      <w:r w:rsidR="00D8576F">
        <w:rPr>
          <w:rFonts w:ascii="Arial" w:hAnsi="Arial" w:cs="Arial"/>
          <w:sz w:val="24"/>
          <w:szCs w:val="24"/>
        </w:rPr>
        <w:t xml:space="preserve">b) </w:t>
      </w:r>
      <w:r w:rsidR="00923E56">
        <w:rPr>
          <w:rFonts w:ascii="Arial" w:hAnsi="Arial" w:cs="Arial"/>
          <w:sz w:val="24"/>
          <w:szCs w:val="24"/>
        </w:rPr>
        <w:t xml:space="preserve">exigir el </w:t>
      </w:r>
      <w:r w:rsidRPr="00517388">
        <w:rPr>
          <w:rFonts w:ascii="Arial" w:hAnsi="Arial" w:cs="Arial"/>
          <w:sz w:val="24"/>
          <w:szCs w:val="24"/>
        </w:rPr>
        <w:t>cumplimiento ef</w:t>
      </w:r>
      <w:r w:rsidR="0079328C" w:rsidRPr="00517388">
        <w:rPr>
          <w:rFonts w:ascii="Arial" w:hAnsi="Arial" w:cs="Arial"/>
          <w:sz w:val="24"/>
          <w:szCs w:val="24"/>
        </w:rPr>
        <w:t xml:space="preserve">ectivo de los derechos </w:t>
      </w:r>
      <w:r w:rsidR="00923E56">
        <w:rPr>
          <w:rFonts w:ascii="Arial" w:hAnsi="Arial" w:cs="Arial"/>
          <w:sz w:val="24"/>
          <w:szCs w:val="24"/>
        </w:rPr>
        <w:t>de los trabajadores.</w:t>
      </w:r>
    </w:p>
    <w:p w14:paraId="6D837B27" w14:textId="77777777" w:rsidR="00436B0C" w:rsidRPr="00517388" w:rsidRDefault="00436B0C" w:rsidP="00AB64B1">
      <w:pPr>
        <w:autoSpaceDE w:val="0"/>
        <w:autoSpaceDN w:val="0"/>
        <w:adjustRightInd w:val="0"/>
        <w:spacing w:after="0" w:line="240" w:lineRule="auto"/>
        <w:jc w:val="both"/>
        <w:rPr>
          <w:rFonts w:ascii="Arial" w:hAnsi="Arial" w:cs="Arial"/>
          <w:sz w:val="24"/>
          <w:szCs w:val="24"/>
        </w:rPr>
      </w:pPr>
    </w:p>
    <w:p w14:paraId="258E31C3" w14:textId="77777777" w:rsidR="00923E56" w:rsidRDefault="00442273"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 </w:t>
      </w:r>
      <w:r w:rsidR="00436B0C" w:rsidRPr="00517388">
        <w:rPr>
          <w:rFonts w:ascii="Arial" w:hAnsi="Arial" w:cs="Arial"/>
          <w:sz w:val="24"/>
          <w:szCs w:val="24"/>
        </w:rPr>
        <w:t xml:space="preserve">La indefinición </w:t>
      </w:r>
      <w:r w:rsidR="00923E56">
        <w:rPr>
          <w:rFonts w:ascii="Arial" w:hAnsi="Arial" w:cs="Arial"/>
          <w:sz w:val="24"/>
          <w:szCs w:val="24"/>
        </w:rPr>
        <w:t xml:space="preserve">conceptual </w:t>
      </w:r>
      <w:r w:rsidR="00436B0C" w:rsidRPr="00517388">
        <w:rPr>
          <w:rFonts w:ascii="Arial" w:hAnsi="Arial" w:cs="Arial"/>
          <w:sz w:val="24"/>
          <w:szCs w:val="24"/>
        </w:rPr>
        <w:t>se traduce</w:t>
      </w:r>
      <w:r w:rsidR="00923E56">
        <w:rPr>
          <w:rFonts w:ascii="Arial" w:hAnsi="Arial" w:cs="Arial"/>
          <w:sz w:val="24"/>
          <w:szCs w:val="24"/>
        </w:rPr>
        <w:t xml:space="preserve"> entonces</w:t>
      </w:r>
      <w:r w:rsidR="00436B0C" w:rsidRPr="00517388">
        <w:rPr>
          <w:rFonts w:ascii="Arial" w:hAnsi="Arial" w:cs="Arial"/>
          <w:sz w:val="24"/>
          <w:szCs w:val="24"/>
        </w:rPr>
        <w:t xml:space="preserve"> en una indefinición del </w:t>
      </w:r>
      <w:r w:rsidR="00923E56">
        <w:rPr>
          <w:rFonts w:ascii="Arial" w:hAnsi="Arial" w:cs="Arial"/>
          <w:sz w:val="24"/>
          <w:szCs w:val="24"/>
        </w:rPr>
        <w:t xml:space="preserve">tipo </w:t>
      </w:r>
      <w:r w:rsidR="00436B0C" w:rsidRPr="00517388">
        <w:rPr>
          <w:rFonts w:ascii="Arial" w:hAnsi="Arial" w:cs="Arial"/>
          <w:sz w:val="24"/>
          <w:szCs w:val="24"/>
        </w:rPr>
        <w:t xml:space="preserve">de cumplimiento </w:t>
      </w:r>
      <w:r w:rsidR="00923E56">
        <w:rPr>
          <w:rFonts w:ascii="Arial" w:hAnsi="Arial" w:cs="Arial"/>
          <w:sz w:val="24"/>
          <w:szCs w:val="24"/>
        </w:rPr>
        <w:t xml:space="preserve">de los derechos </w:t>
      </w:r>
      <w:r w:rsidR="00436B0C" w:rsidRPr="00517388">
        <w:rPr>
          <w:rFonts w:ascii="Arial" w:hAnsi="Arial" w:cs="Arial"/>
          <w:sz w:val="24"/>
          <w:szCs w:val="24"/>
        </w:rPr>
        <w:t xml:space="preserve">que es dable esperar. </w:t>
      </w:r>
    </w:p>
    <w:p w14:paraId="3AAE2D42" w14:textId="77777777" w:rsidR="00923E56" w:rsidRDefault="00923E56" w:rsidP="00AB64B1">
      <w:pPr>
        <w:autoSpaceDE w:val="0"/>
        <w:autoSpaceDN w:val="0"/>
        <w:adjustRightInd w:val="0"/>
        <w:spacing w:after="0" w:line="240" w:lineRule="auto"/>
        <w:jc w:val="both"/>
        <w:rPr>
          <w:rFonts w:ascii="Arial" w:hAnsi="Arial" w:cs="Arial"/>
          <w:sz w:val="24"/>
          <w:szCs w:val="24"/>
        </w:rPr>
      </w:pPr>
    </w:p>
    <w:p w14:paraId="2472493D" w14:textId="77777777" w:rsidR="006F643D" w:rsidRDefault="00436B0C"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Por ello algunos críticos de la diligencia debida, que la conciben como </w:t>
      </w:r>
      <w:r w:rsidR="00925281" w:rsidRPr="00517388">
        <w:rPr>
          <w:rFonts w:ascii="Arial" w:hAnsi="Arial" w:cs="Arial"/>
          <w:sz w:val="24"/>
          <w:szCs w:val="24"/>
        </w:rPr>
        <w:t>un mero estándar de conducta integrado en otra obligación internacional (</w:t>
      </w:r>
      <w:r w:rsidRPr="00517388">
        <w:rPr>
          <w:rFonts w:ascii="Arial" w:hAnsi="Arial" w:cs="Arial"/>
          <w:sz w:val="24"/>
          <w:szCs w:val="24"/>
        </w:rPr>
        <w:t xml:space="preserve">de </w:t>
      </w:r>
      <w:r w:rsidR="00925281" w:rsidRPr="00517388">
        <w:rPr>
          <w:rFonts w:ascii="Arial" w:hAnsi="Arial" w:cs="Arial"/>
          <w:sz w:val="24"/>
          <w:szCs w:val="24"/>
        </w:rPr>
        <w:t xml:space="preserve">prevención o represión del daño) o equiparado con ella, </w:t>
      </w:r>
      <w:r w:rsidRPr="00517388">
        <w:rPr>
          <w:rFonts w:ascii="Arial" w:hAnsi="Arial" w:cs="Arial"/>
          <w:sz w:val="24"/>
          <w:szCs w:val="24"/>
        </w:rPr>
        <w:t xml:space="preserve">sospechan que todo el mecanismo tiende a </w:t>
      </w:r>
      <w:r w:rsidR="00925281" w:rsidRPr="00517388">
        <w:rPr>
          <w:rFonts w:ascii="Arial" w:hAnsi="Arial" w:cs="Arial"/>
          <w:sz w:val="24"/>
          <w:szCs w:val="24"/>
        </w:rPr>
        <w:t xml:space="preserve">limitar la responsabilidad a la violación de una obligación de mero esfuerzo (obligación de medios). </w:t>
      </w:r>
    </w:p>
    <w:p w14:paraId="28506057" w14:textId="77777777" w:rsidR="006F643D" w:rsidRDefault="006F643D" w:rsidP="00AB64B1">
      <w:pPr>
        <w:autoSpaceDE w:val="0"/>
        <w:autoSpaceDN w:val="0"/>
        <w:adjustRightInd w:val="0"/>
        <w:spacing w:after="0" w:line="240" w:lineRule="auto"/>
        <w:jc w:val="both"/>
        <w:rPr>
          <w:rFonts w:ascii="Arial" w:hAnsi="Arial" w:cs="Arial"/>
          <w:sz w:val="24"/>
          <w:szCs w:val="24"/>
        </w:rPr>
      </w:pPr>
    </w:p>
    <w:p w14:paraId="1E85AB69" w14:textId="77777777" w:rsidR="00D8576F" w:rsidRDefault="00D8576F" w:rsidP="00AB64B1">
      <w:pPr>
        <w:autoSpaceDE w:val="0"/>
        <w:autoSpaceDN w:val="0"/>
        <w:adjustRightInd w:val="0"/>
        <w:spacing w:after="0" w:line="240" w:lineRule="auto"/>
        <w:jc w:val="both"/>
        <w:rPr>
          <w:rFonts w:ascii="Arial" w:hAnsi="Arial" w:cs="Arial"/>
          <w:sz w:val="24"/>
          <w:szCs w:val="24"/>
        </w:rPr>
      </w:pPr>
      <w:r>
        <w:rPr>
          <w:rFonts w:ascii="Arial" w:hAnsi="Arial" w:cs="Arial"/>
          <w:sz w:val="24"/>
          <w:szCs w:val="24"/>
        </w:rPr>
        <w:t>E</w:t>
      </w:r>
      <w:r w:rsidR="006F643D">
        <w:rPr>
          <w:rFonts w:ascii="Arial" w:hAnsi="Arial" w:cs="Arial"/>
          <w:sz w:val="24"/>
          <w:szCs w:val="24"/>
        </w:rPr>
        <w:t xml:space="preserve">n una crítica </w:t>
      </w:r>
      <w:r>
        <w:rPr>
          <w:rFonts w:ascii="Arial" w:hAnsi="Arial" w:cs="Arial"/>
          <w:sz w:val="24"/>
          <w:szCs w:val="24"/>
        </w:rPr>
        <w:t xml:space="preserve">que entendemos </w:t>
      </w:r>
      <w:r w:rsidR="006F643D">
        <w:rPr>
          <w:rFonts w:ascii="Arial" w:hAnsi="Arial" w:cs="Arial"/>
          <w:sz w:val="24"/>
          <w:szCs w:val="24"/>
        </w:rPr>
        <w:t>aplicable a la eventual recepción de la debida diligencia en los ordenamientos</w:t>
      </w:r>
      <w:r>
        <w:rPr>
          <w:rFonts w:ascii="Arial" w:hAnsi="Arial" w:cs="Arial"/>
          <w:sz w:val="24"/>
          <w:szCs w:val="24"/>
        </w:rPr>
        <w:t xml:space="preserve"> laborales</w:t>
      </w:r>
      <w:r w:rsidR="006F643D">
        <w:rPr>
          <w:rFonts w:ascii="Arial" w:hAnsi="Arial" w:cs="Arial"/>
          <w:sz w:val="24"/>
          <w:szCs w:val="24"/>
        </w:rPr>
        <w:t xml:space="preserve"> nacionales,</w:t>
      </w:r>
      <w:r>
        <w:rPr>
          <w:rFonts w:ascii="Arial" w:hAnsi="Arial" w:cs="Arial"/>
          <w:sz w:val="24"/>
          <w:szCs w:val="24"/>
        </w:rPr>
        <w:t xml:space="preserve"> asumimos que existe el riesgo que la “importación” de este concepto tenga similar efecto al denunciado internacionalmente.</w:t>
      </w:r>
    </w:p>
    <w:p w14:paraId="67DA7ECB" w14:textId="77777777" w:rsidR="00D8576F" w:rsidRDefault="00D8576F" w:rsidP="00AB64B1">
      <w:pPr>
        <w:autoSpaceDE w:val="0"/>
        <w:autoSpaceDN w:val="0"/>
        <w:adjustRightInd w:val="0"/>
        <w:spacing w:after="0" w:line="240" w:lineRule="auto"/>
        <w:jc w:val="both"/>
        <w:rPr>
          <w:rFonts w:ascii="Arial" w:hAnsi="Arial" w:cs="Arial"/>
          <w:sz w:val="24"/>
          <w:szCs w:val="24"/>
        </w:rPr>
      </w:pPr>
    </w:p>
    <w:p w14:paraId="1D51E423" w14:textId="09AFDA8F" w:rsidR="00925281" w:rsidRPr="00517388" w:rsidRDefault="00D8576F" w:rsidP="00AB64B1">
      <w:pPr>
        <w:autoSpaceDE w:val="0"/>
        <w:autoSpaceDN w:val="0"/>
        <w:adjustRightInd w:val="0"/>
        <w:spacing w:after="0" w:line="240" w:lineRule="auto"/>
        <w:jc w:val="both"/>
        <w:rPr>
          <w:rFonts w:ascii="Arial" w:hAnsi="Arial" w:cs="Arial"/>
          <w:sz w:val="24"/>
          <w:szCs w:val="24"/>
        </w:rPr>
      </w:pPr>
      <w:r>
        <w:rPr>
          <w:rFonts w:ascii="Arial" w:hAnsi="Arial" w:cs="Arial"/>
          <w:sz w:val="24"/>
          <w:szCs w:val="24"/>
        </w:rPr>
        <w:lastRenderedPageBreak/>
        <w:t xml:space="preserve">Nos referimos a opiniones como: </w:t>
      </w:r>
      <w:r w:rsidR="006F643D" w:rsidRPr="00D8576F">
        <w:rPr>
          <w:rFonts w:ascii="Arial" w:hAnsi="Arial" w:cs="Arial"/>
          <w:i/>
          <w:sz w:val="24"/>
          <w:szCs w:val="24"/>
        </w:rPr>
        <w:t>“l</w:t>
      </w:r>
      <w:r w:rsidR="00925281" w:rsidRPr="00D8576F">
        <w:rPr>
          <w:rFonts w:ascii="Arial" w:hAnsi="Arial" w:cs="Arial"/>
          <w:i/>
          <w:sz w:val="24"/>
          <w:szCs w:val="24"/>
        </w:rPr>
        <w:t>a interpretación de la CIDH, es entendible si consideramos que, en la lógica universal de los Estados, más que sentar bases que justifiquen la procedencia de la responsabilidad internacional, buscan deslindarse de la misma</w:t>
      </w:r>
      <w:r w:rsidR="00436B0C" w:rsidRPr="00D8576F">
        <w:rPr>
          <w:rFonts w:ascii="Arial" w:hAnsi="Arial" w:cs="Arial"/>
          <w:i/>
          <w:sz w:val="24"/>
          <w:szCs w:val="24"/>
        </w:rPr>
        <w:t>”,</w:t>
      </w:r>
      <w:r w:rsidR="00436B0C" w:rsidRPr="00517388">
        <w:rPr>
          <w:rFonts w:ascii="Arial" w:hAnsi="Arial" w:cs="Arial"/>
          <w:sz w:val="24"/>
          <w:szCs w:val="24"/>
        </w:rPr>
        <w:t xml:space="preserve"> ante lo cual la Corte Interamericana </w:t>
      </w:r>
      <w:r w:rsidR="00436B0C" w:rsidRPr="00D8576F">
        <w:rPr>
          <w:rFonts w:ascii="Arial" w:hAnsi="Arial" w:cs="Arial"/>
          <w:i/>
          <w:sz w:val="24"/>
          <w:szCs w:val="24"/>
        </w:rPr>
        <w:t>“</w:t>
      </w:r>
      <w:r w:rsidR="00925281" w:rsidRPr="00D8576F">
        <w:rPr>
          <w:rFonts w:ascii="Arial" w:hAnsi="Arial" w:cs="Arial"/>
          <w:i/>
          <w:sz w:val="24"/>
          <w:szCs w:val="24"/>
        </w:rPr>
        <w:t>esquiva sutilmente un debate profundo en torno al principio de no dañar, y sus implicancias en relación al resultado dañoso. Al momento de visibilizar cuál es la norma vulnerada en los casos estudiados, la CIDH resuelve la compleja confusión entre el deber de no dañar, la obligación de prevención y represión, y la noción de diligencia debida, de forma extremadamente simplista igualando términos y debilitando su alcance</w:t>
      </w:r>
      <w:r w:rsidR="00436B0C" w:rsidRPr="00D8576F">
        <w:rPr>
          <w:rFonts w:ascii="Arial" w:hAnsi="Arial" w:cs="Arial"/>
          <w:i/>
          <w:sz w:val="24"/>
          <w:szCs w:val="24"/>
        </w:rPr>
        <w:t>”</w:t>
      </w:r>
      <w:r w:rsidR="00925281" w:rsidRPr="00517388">
        <w:rPr>
          <w:rFonts w:ascii="Arial" w:hAnsi="Arial" w:cs="Arial"/>
          <w:sz w:val="24"/>
          <w:szCs w:val="24"/>
        </w:rPr>
        <w:t>.</w:t>
      </w:r>
      <w:r w:rsidR="00A76750" w:rsidRPr="00517388">
        <w:rPr>
          <w:rStyle w:val="Refdenotaalpie"/>
          <w:rFonts w:ascii="Arial" w:hAnsi="Arial" w:cs="Arial"/>
          <w:sz w:val="24"/>
          <w:szCs w:val="24"/>
        </w:rPr>
        <w:footnoteReference w:id="27"/>
      </w:r>
      <w:r w:rsidR="00925281" w:rsidRPr="00517388">
        <w:rPr>
          <w:rFonts w:ascii="Arial" w:hAnsi="Arial" w:cs="Arial"/>
          <w:sz w:val="24"/>
          <w:szCs w:val="24"/>
        </w:rPr>
        <w:t xml:space="preserve"> </w:t>
      </w:r>
    </w:p>
    <w:p w14:paraId="52C5E00C" w14:textId="77777777" w:rsidR="0079328C" w:rsidRDefault="0079328C" w:rsidP="00AB64B1">
      <w:pPr>
        <w:autoSpaceDE w:val="0"/>
        <w:autoSpaceDN w:val="0"/>
        <w:adjustRightInd w:val="0"/>
        <w:spacing w:after="0" w:line="240" w:lineRule="auto"/>
        <w:jc w:val="both"/>
        <w:rPr>
          <w:rFonts w:ascii="Arial" w:hAnsi="Arial" w:cs="Arial"/>
          <w:sz w:val="24"/>
          <w:szCs w:val="24"/>
        </w:rPr>
      </w:pPr>
    </w:p>
    <w:p w14:paraId="647CAC3F" w14:textId="5BF6FD62" w:rsidR="006F643D" w:rsidRPr="00050801" w:rsidRDefault="006F643D" w:rsidP="006F643D">
      <w:pPr>
        <w:autoSpaceDE w:val="0"/>
        <w:autoSpaceDN w:val="0"/>
        <w:adjustRightInd w:val="0"/>
        <w:spacing w:after="0" w:line="240" w:lineRule="auto"/>
        <w:jc w:val="both"/>
        <w:rPr>
          <w:rFonts w:ascii="Arial" w:hAnsi="Arial" w:cs="Arial"/>
        </w:rPr>
      </w:pPr>
      <w:r>
        <w:rPr>
          <w:rFonts w:ascii="Arial" w:hAnsi="Arial" w:cs="Arial"/>
          <w:sz w:val="24"/>
          <w:szCs w:val="24"/>
        </w:rPr>
        <w:t xml:space="preserve">Esta preocupación es todavía más evidente si reparamos en el axioma </w:t>
      </w:r>
      <w:r w:rsidR="00D8576F">
        <w:rPr>
          <w:rFonts w:ascii="Arial" w:hAnsi="Arial" w:cs="Arial"/>
          <w:sz w:val="24"/>
          <w:szCs w:val="24"/>
        </w:rPr>
        <w:t xml:space="preserve">que se señala </w:t>
      </w:r>
      <w:r>
        <w:rPr>
          <w:rFonts w:ascii="Arial" w:hAnsi="Arial" w:cs="Arial"/>
          <w:sz w:val="24"/>
          <w:szCs w:val="24"/>
        </w:rPr>
        <w:t xml:space="preserve">en la jurisprudencia de la CIDH sobre la inexistencia de incumplimiento </w:t>
      </w:r>
      <w:r w:rsidR="00D8576F">
        <w:rPr>
          <w:rFonts w:ascii="Arial" w:hAnsi="Arial" w:cs="Arial"/>
          <w:sz w:val="24"/>
          <w:szCs w:val="24"/>
        </w:rPr>
        <w:t>“</w:t>
      </w:r>
      <w:r w:rsidRPr="00517388">
        <w:rPr>
          <w:rFonts w:ascii="Arial" w:hAnsi="Arial" w:cs="Arial"/>
          <w:i/>
          <w:iCs/>
          <w:sz w:val="24"/>
          <w:szCs w:val="24"/>
        </w:rPr>
        <w:t xml:space="preserve">por el mero hecho de que un derecho haya sido </w:t>
      </w:r>
      <w:r>
        <w:rPr>
          <w:rFonts w:ascii="Arial" w:hAnsi="Arial" w:cs="Arial"/>
          <w:i/>
          <w:iCs/>
          <w:sz w:val="24"/>
          <w:szCs w:val="24"/>
        </w:rPr>
        <w:t>v</w:t>
      </w:r>
      <w:r w:rsidRPr="00517388">
        <w:rPr>
          <w:rFonts w:ascii="Arial" w:hAnsi="Arial" w:cs="Arial"/>
          <w:i/>
          <w:iCs/>
          <w:sz w:val="24"/>
          <w:szCs w:val="24"/>
        </w:rPr>
        <w:t>iolado</w:t>
      </w:r>
      <w:r w:rsidR="00D8576F">
        <w:rPr>
          <w:rFonts w:ascii="Arial" w:hAnsi="Arial" w:cs="Arial"/>
          <w:i/>
          <w:iCs/>
          <w:sz w:val="24"/>
          <w:szCs w:val="24"/>
        </w:rPr>
        <w:t>”</w:t>
      </w:r>
      <w:r>
        <w:rPr>
          <w:rFonts w:ascii="Arial" w:hAnsi="Arial" w:cs="Arial"/>
          <w:i/>
          <w:iCs/>
          <w:sz w:val="24"/>
          <w:szCs w:val="24"/>
        </w:rPr>
        <w:t>.</w:t>
      </w:r>
    </w:p>
    <w:p w14:paraId="0A7344C5" w14:textId="4DFC0693" w:rsidR="006F643D" w:rsidRPr="00517388" w:rsidRDefault="006F643D" w:rsidP="00AB64B1">
      <w:pPr>
        <w:autoSpaceDE w:val="0"/>
        <w:autoSpaceDN w:val="0"/>
        <w:adjustRightInd w:val="0"/>
        <w:spacing w:after="0" w:line="240" w:lineRule="auto"/>
        <w:jc w:val="both"/>
        <w:rPr>
          <w:rFonts w:ascii="Arial" w:hAnsi="Arial" w:cs="Arial"/>
          <w:sz w:val="24"/>
          <w:szCs w:val="24"/>
        </w:rPr>
      </w:pPr>
    </w:p>
    <w:p w14:paraId="0C3110B1" w14:textId="223BC870" w:rsidR="0079328C" w:rsidRPr="00517388" w:rsidRDefault="0079328C"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Si este fuera el resultado de </w:t>
      </w:r>
      <w:r w:rsidR="00D8576F">
        <w:rPr>
          <w:rFonts w:ascii="Arial" w:hAnsi="Arial" w:cs="Arial"/>
          <w:sz w:val="24"/>
          <w:szCs w:val="24"/>
        </w:rPr>
        <w:t>la recepción de l</w:t>
      </w:r>
      <w:r w:rsidRPr="00517388">
        <w:rPr>
          <w:rFonts w:ascii="Arial" w:hAnsi="Arial" w:cs="Arial"/>
          <w:sz w:val="24"/>
          <w:szCs w:val="24"/>
        </w:rPr>
        <w:t>a debida diligencia</w:t>
      </w:r>
      <w:r w:rsidR="00D8576F">
        <w:rPr>
          <w:rFonts w:ascii="Arial" w:hAnsi="Arial" w:cs="Arial"/>
          <w:sz w:val="24"/>
          <w:szCs w:val="24"/>
        </w:rPr>
        <w:t xml:space="preserve"> en el derecho del trabajo, estaríamos ante </w:t>
      </w:r>
      <w:r w:rsidRPr="00517388">
        <w:rPr>
          <w:rFonts w:ascii="Arial" w:hAnsi="Arial" w:cs="Arial"/>
          <w:sz w:val="24"/>
          <w:szCs w:val="24"/>
        </w:rPr>
        <w:t>una alteración</w:t>
      </w:r>
      <w:r w:rsidR="006F643D">
        <w:rPr>
          <w:rFonts w:ascii="Arial" w:hAnsi="Arial" w:cs="Arial"/>
          <w:sz w:val="24"/>
          <w:szCs w:val="24"/>
        </w:rPr>
        <w:t xml:space="preserve"> seria</w:t>
      </w:r>
      <w:r w:rsidRPr="00517388">
        <w:rPr>
          <w:rFonts w:ascii="Arial" w:hAnsi="Arial" w:cs="Arial"/>
          <w:sz w:val="24"/>
          <w:szCs w:val="24"/>
        </w:rPr>
        <w:t xml:space="preserve"> del sistema de responsabilidad</w:t>
      </w:r>
      <w:r w:rsidR="00D8576F">
        <w:rPr>
          <w:rFonts w:ascii="Arial" w:hAnsi="Arial" w:cs="Arial"/>
          <w:sz w:val="24"/>
          <w:szCs w:val="24"/>
        </w:rPr>
        <w:t>, y</w:t>
      </w:r>
      <w:r w:rsidRPr="00517388">
        <w:rPr>
          <w:rFonts w:ascii="Arial" w:hAnsi="Arial" w:cs="Arial"/>
          <w:sz w:val="24"/>
          <w:szCs w:val="24"/>
        </w:rPr>
        <w:t xml:space="preserve">a que impondría un nuevo estándar para justipreciar el cumplimiento de los derechos, estándar que estaría situado por debajo del deber de </w:t>
      </w:r>
      <w:r w:rsidR="006F643D">
        <w:rPr>
          <w:rFonts w:ascii="Arial" w:hAnsi="Arial" w:cs="Arial"/>
          <w:sz w:val="24"/>
          <w:szCs w:val="24"/>
        </w:rPr>
        <w:t>“cumplir” la normativa vigente, ya que se detendría en la obligación de conducirse con debida diligencia</w:t>
      </w:r>
      <w:r w:rsidR="00D8576F">
        <w:rPr>
          <w:rFonts w:ascii="Arial" w:hAnsi="Arial" w:cs="Arial"/>
          <w:sz w:val="24"/>
          <w:szCs w:val="24"/>
        </w:rPr>
        <w:t xml:space="preserve"> para </w:t>
      </w:r>
      <w:r w:rsidR="006F643D">
        <w:rPr>
          <w:rFonts w:ascii="Arial" w:hAnsi="Arial" w:cs="Arial"/>
          <w:sz w:val="24"/>
          <w:szCs w:val="24"/>
        </w:rPr>
        <w:t>exonerarse de responsabilidad.</w:t>
      </w:r>
    </w:p>
    <w:p w14:paraId="19A52EDE" w14:textId="77777777" w:rsidR="00A76750" w:rsidRDefault="00A76750" w:rsidP="00A76750">
      <w:pPr>
        <w:autoSpaceDE w:val="0"/>
        <w:autoSpaceDN w:val="0"/>
        <w:adjustRightInd w:val="0"/>
        <w:spacing w:after="0" w:line="240" w:lineRule="auto"/>
        <w:jc w:val="both"/>
        <w:rPr>
          <w:rFonts w:ascii="Arial" w:hAnsi="Arial" w:cs="Arial"/>
          <w:sz w:val="24"/>
          <w:szCs w:val="24"/>
        </w:rPr>
      </w:pPr>
    </w:p>
    <w:p w14:paraId="049F2EF3" w14:textId="624199A3" w:rsidR="00880B21" w:rsidRDefault="00880B21" w:rsidP="00880B21">
      <w:pPr>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No queda al margen de estas preocupaciones </w:t>
      </w:r>
      <w:r w:rsidR="00A43F18">
        <w:rPr>
          <w:rFonts w:ascii="Arial" w:hAnsi="Arial" w:cs="Arial"/>
          <w:sz w:val="24"/>
          <w:szCs w:val="24"/>
        </w:rPr>
        <w:t xml:space="preserve">otros corolarios que trae consigo la noción de </w:t>
      </w:r>
      <w:r>
        <w:rPr>
          <w:rFonts w:ascii="Arial" w:hAnsi="Arial" w:cs="Arial"/>
          <w:sz w:val="24"/>
          <w:szCs w:val="24"/>
        </w:rPr>
        <w:t>debida diligencia</w:t>
      </w:r>
      <w:r w:rsidR="00A43F18">
        <w:rPr>
          <w:rFonts w:ascii="Arial" w:hAnsi="Arial" w:cs="Arial"/>
          <w:sz w:val="24"/>
          <w:szCs w:val="24"/>
        </w:rPr>
        <w:t xml:space="preserve">, como es su aplicación </w:t>
      </w:r>
      <w:r>
        <w:rPr>
          <w:rFonts w:ascii="Arial" w:hAnsi="Arial" w:cs="Arial"/>
          <w:sz w:val="24"/>
          <w:szCs w:val="24"/>
        </w:rPr>
        <w:t>a las violaciones “graves” de DDHH</w:t>
      </w:r>
      <w:r w:rsidR="00A43F18">
        <w:rPr>
          <w:rFonts w:ascii="Arial" w:hAnsi="Arial" w:cs="Arial"/>
          <w:sz w:val="24"/>
          <w:szCs w:val="24"/>
        </w:rPr>
        <w:t xml:space="preserve"> -</w:t>
      </w:r>
      <w:r>
        <w:rPr>
          <w:rFonts w:ascii="Arial" w:hAnsi="Arial" w:cs="Arial"/>
          <w:sz w:val="24"/>
          <w:szCs w:val="24"/>
        </w:rPr>
        <w:t xml:space="preserve"> otro concepto ambiguo</w:t>
      </w:r>
      <w:r w:rsidR="00A43F18">
        <w:rPr>
          <w:rFonts w:ascii="Arial" w:hAnsi="Arial" w:cs="Arial"/>
          <w:sz w:val="24"/>
          <w:szCs w:val="24"/>
        </w:rPr>
        <w:t xml:space="preserve"> -</w:t>
      </w:r>
      <w:r>
        <w:rPr>
          <w:rFonts w:ascii="Arial" w:hAnsi="Arial" w:cs="Arial"/>
          <w:sz w:val="24"/>
          <w:szCs w:val="24"/>
        </w:rPr>
        <w:t xml:space="preserve"> ni que </w:t>
      </w:r>
      <w:r w:rsidR="00A43F18">
        <w:rPr>
          <w:rFonts w:ascii="Arial" w:hAnsi="Arial" w:cs="Arial"/>
          <w:sz w:val="24"/>
          <w:szCs w:val="24"/>
        </w:rPr>
        <w:t xml:space="preserve">haga depender </w:t>
      </w:r>
      <w:r>
        <w:rPr>
          <w:rFonts w:ascii="Arial" w:hAnsi="Arial" w:cs="Arial"/>
          <w:sz w:val="24"/>
          <w:szCs w:val="24"/>
        </w:rPr>
        <w:t>su efectividad según el tamaño de las empresas, restando así universalidad al alcance de la responsabilidad.</w:t>
      </w:r>
    </w:p>
    <w:p w14:paraId="2FC22D58" w14:textId="77777777" w:rsidR="00880B21" w:rsidRDefault="00880B21" w:rsidP="00880B21">
      <w:pPr>
        <w:autoSpaceDE w:val="0"/>
        <w:autoSpaceDN w:val="0"/>
        <w:adjustRightInd w:val="0"/>
        <w:spacing w:after="0" w:line="240" w:lineRule="auto"/>
        <w:jc w:val="both"/>
        <w:rPr>
          <w:rFonts w:ascii="Arial" w:hAnsi="Arial" w:cs="Arial"/>
        </w:rPr>
      </w:pPr>
    </w:p>
    <w:p w14:paraId="6866F5E2" w14:textId="77777777" w:rsidR="00880B21" w:rsidRPr="00517388" w:rsidRDefault="00880B21" w:rsidP="00A76750">
      <w:pPr>
        <w:autoSpaceDE w:val="0"/>
        <w:autoSpaceDN w:val="0"/>
        <w:adjustRightInd w:val="0"/>
        <w:spacing w:after="0" w:line="240" w:lineRule="auto"/>
        <w:jc w:val="both"/>
        <w:rPr>
          <w:rFonts w:ascii="Arial" w:hAnsi="Arial" w:cs="Arial"/>
          <w:sz w:val="24"/>
          <w:szCs w:val="24"/>
        </w:rPr>
      </w:pPr>
    </w:p>
    <w:p w14:paraId="39323423" w14:textId="476E04A5" w:rsidR="00796341" w:rsidRPr="00517388" w:rsidRDefault="00A76750" w:rsidP="00A76750">
      <w:pPr>
        <w:autoSpaceDE w:val="0"/>
        <w:autoSpaceDN w:val="0"/>
        <w:adjustRightInd w:val="0"/>
        <w:spacing w:after="0" w:line="240" w:lineRule="auto"/>
        <w:jc w:val="both"/>
        <w:rPr>
          <w:rFonts w:ascii="Arial" w:hAnsi="Arial" w:cs="Arial"/>
          <w:i/>
          <w:sz w:val="24"/>
          <w:szCs w:val="24"/>
        </w:rPr>
      </w:pPr>
      <w:r w:rsidRPr="00517388">
        <w:rPr>
          <w:rFonts w:ascii="Arial" w:hAnsi="Arial" w:cs="Arial"/>
          <w:i/>
          <w:sz w:val="24"/>
          <w:szCs w:val="24"/>
        </w:rPr>
        <w:t>IV.2 Insuficiencia de la obligación negativa</w:t>
      </w:r>
    </w:p>
    <w:p w14:paraId="21228009" w14:textId="77777777" w:rsidR="00796341" w:rsidRPr="00517388" w:rsidRDefault="00796341" w:rsidP="00AB64B1">
      <w:pPr>
        <w:autoSpaceDE w:val="0"/>
        <w:autoSpaceDN w:val="0"/>
        <w:adjustRightInd w:val="0"/>
        <w:spacing w:after="0" w:line="240" w:lineRule="auto"/>
        <w:jc w:val="both"/>
        <w:rPr>
          <w:rFonts w:ascii="Arial" w:hAnsi="Arial" w:cs="Arial"/>
          <w:sz w:val="24"/>
          <w:szCs w:val="24"/>
        </w:rPr>
      </w:pPr>
    </w:p>
    <w:p w14:paraId="43481C1B" w14:textId="77777777" w:rsidR="00A76750" w:rsidRPr="00517388" w:rsidRDefault="00A76750"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El “marco” </w:t>
      </w:r>
      <w:r w:rsidR="00796341" w:rsidRPr="00517388">
        <w:rPr>
          <w:rFonts w:ascii="Arial" w:hAnsi="Arial" w:cs="Arial"/>
          <w:sz w:val="24"/>
          <w:szCs w:val="24"/>
        </w:rPr>
        <w:t>Ruggie</w:t>
      </w:r>
      <w:r w:rsidRPr="00517388">
        <w:rPr>
          <w:rFonts w:ascii="Arial" w:hAnsi="Arial" w:cs="Arial"/>
          <w:sz w:val="24"/>
          <w:szCs w:val="24"/>
        </w:rPr>
        <w:t>, con su énfasis en la debida diligencia como obligación de respetar configura un contenido insuficiente, sobre todo si se trata de Derechos Fundamentales, que requieren medidas positivas del Estado y de los particulares, en atención a su carácter bifronte.</w:t>
      </w:r>
      <w:r w:rsidRPr="00517388">
        <w:rPr>
          <w:rStyle w:val="Refdenotaalpie"/>
          <w:rFonts w:ascii="Arial" w:hAnsi="Arial" w:cs="Arial"/>
          <w:sz w:val="24"/>
          <w:szCs w:val="24"/>
        </w:rPr>
        <w:footnoteReference w:id="28"/>
      </w:r>
      <w:r w:rsidR="00796341" w:rsidRPr="00517388">
        <w:rPr>
          <w:rFonts w:ascii="Arial" w:hAnsi="Arial" w:cs="Arial"/>
          <w:sz w:val="24"/>
          <w:szCs w:val="24"/>
        </w:rPr>
        <w:t xml:space="preserve"> </w:t>
      </w:r>
    </w:p>
    <w:p w14:paraId="658E2A9D" w14:textId="77777777" w:rsidR="00A76750" w:rsidRPr="00517388" w:rsidRDefault="00A76750" w:rsidP="00AB64B1">
      <w:pPr>
        <w:autoSpaceDE w:val="0"/>
        <w:autoSpaceDN w:val="0"/>
        <w:adjustRightInd w:val="0"/>
        <w:spacing w:after="0" w:line="240" w:lineRule="auto"/>
        <w:jc w:val="both"/>
        <w:rPr>
          <w:rFonts w:ascii="Arial" w:hAnsi="Arial" w:cs="Arial"/>
          <w:sz w:val="24"/>
          <w:szCs w:val="24"/>
        </w:rPr>
      </w:pPr>
    </w:p>
    <w:p w14:paraId="139080E0" w14:textId="41D9A494" w:rsidR="00B60395" w:rsidRPr="00517388" w:rsidRDefault="00A76750"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El sustrato ideológico </w:t>
      </w:r>
      <w:r w:rsidR="00A43F18">
        <w:rPr>
          <w:rFonts w:ascii="Arial" w:hAnsi="Arial" w:cs="Arial"/>
          <w:sz w:val="24"/>
          <w:szCs w:val="24"/>
        </w:rPr>
        <w:t xml:space="preserve">liberal </w:t>
      </w:r>
      <w:r w:rsidRPr="00517388">
        <w:rPr>
          <w:rFonts w:ascii="Arial" w:hAnsi="Arial" w:cs="Arial"/>
          <w:sz w:val="24"/>
          <w:szCs w:val="24"/>
        </w:rPr>
        <w:t>que subyace a esa concepción</w:t>
      </w:r>
      <w:r w:rsidR="00A43F18">
        <w:rPr>
          <w:rFonts w:ascii="Arial" w:hAnsi="Arial" w:cs="Arial"/>
          <w:sz w:val="24"/>
          <w:szCs w:val="24"/>
        </w:rPr>
        <w:t xml:space="preserve"> se limita </w:t>
      </w:r>
      <w:r w:rsidR="00B73B5D" w:rsidRPr="00517388">
        <w:rPr>
          <w:rFonts w:ascii="Arial" w:hAnsi="Arial" w:cs="Arial"/>
          <w:sz w:val="24"/>
          <w:szCs w:val="24"/>
        </w:rPr>
        <w:t>a</w:t>
      </w:r>
      <w:r w:rsidR="00A43F18">
        <w:rPr>
          <w:rFonts w:ascii="Arial" w:hAnsi="Arial" w:cs="Arial"/>
          <w:sz w:val="24"/>
          <w:szCs w:val="24"/>
        </w:rPr>
        <w:t xml:space="preserve"> reconocer una o</w:t>
      </w:r>
      <w:r w:rsidR="00B73B5D" w:rsidRPr="00517388">
        <w:rPr>
          <w:rFonts w:ascii="Arial" w:hAnsi="Arial" w:cs="Arial"/>
          <w:sz w:val="24"/>
          <w:szCs w:val="24"/>
        </w:rPr>
        <w:t>bligación de no dañar, cuando</w:t>
      </w:r>
      <w:r w:rsidR="00EA2CAD">
        <w:rPr>
          <w:rFonts w:ascii="Arial" w:hAnsi="Arial" w:cs="Arial"/>
          <w:sz w:val="24"/>
          <w:szCs w:val="24"/>
        </w:rPr>
        <w:t xml:space="preserve"> lo que debe exigirse a las </w:t>
      </w:r>
      <w:r w:rsidR="00B73B5D" w:rsidRPr="00517388">
        <w:rPr>
          <w:rFonts w:ascii="Arial" w:hAnsi="Arial" w:cs="Arial"/>
          <w:sz w:val="24"/>
          <w:szCs w:val="24"/>
        </w:rPr>
        <w:t xml:space="preserve">empresas </w:t>
      </w:r>
      <w:r w:rsidR="00EA2CAD">
        <w:rPr>
          <w:rFonts w:ascii="Arial" w:hAnsi="Arial" w:cs="Arial"/>
          <w:sz w:val="24"/>
          <w:szCs w:val="24"/>
        </w:rPr>
        <w:t>es una mayor responsabilidad</w:t>
      </w:r>
      <w:r w:rsidR="00B73B5D" w:rsidRPr="00517388">
        <w:rPr>
          <w:rFonts w:ascii="Arial" w:hAnsi="Arial" w:cs="Arial"/>
          <w:sz w:val="24"/>
          <w:szCs w:val="24"/>
        </w:rPr>
        <w:t xml:space="preserve"> en el cumplimiento de los derechos</w:t>
      </w:r>
      <w:r w:rsidR="00A43F18">
        <w:rPr>
          <w:rFonts w:ascii="Arial" w:hAnsi="Arial" w:cs="Arial"/>
          <w:sz w:val="24"/>
          <w:szCs w:val="24"/>
        </w:rPr>
        <w:t xml:space="preserve"> fundamentales, no solamente por la dignidad que está en juego, sino por </w:t>
      </w:r>
      <w:r w:rsidR="00AA4174" w:rsidRPr="00517388">
        <w:rPr>
          <w:rFonts w:ascii="Arial" w:hAnsi="Arial" w:cs="Arial"/>
          <w:sz w:val="24"/>
          <w:szCs w:val="24"/>
        </w:rPr>
        <w:t xml:space="preserve">las potencialidades </w:t>
      </w:r>
      <w:r w:rsidR="006F643D">
        <w:rPr>
          <w:rFonts w:ascii="Arial" w:hAnsi="Arial" w:cs="Arial"/>
          <w:sz w:val="24"/>
          <w:szCs w:val="24"/>
        </w:rPr>
        <w:t xml:space="preserve">y oportunidades </w:t>
      </w:r>
      <w:r w:rsidR="00AA4174" w:rsidRPr="00517388">
        <w:rPr>
          <w:rFonts w:ascii="Arial" w:hAnsi="Arial" w:cs="Arial"/>
          <w:sz w:val="24"/>
          <w:szCs w:val="24"/>
        </w:rPr>
        <w:t>que tienen para colaborar en el desarrollo económico, social y humano.</w:t>
      </w:r>
    </w:p>
    <w:p w14:paraId="5A242CE3" w14:textId="77777777" w:rsidR="004D176E" w:rsidRPr="00517388" w:rsidRDefault="004D176E" w:rsidP="00AB64B1">
      <w:pPr>
        <w:autoSpaceDE w:val="0"/>
        <w:autoSpaceDN w:val="0"/>
        <w:adjustRightInd w:val="0"/>
        <w:spacing w:after="0" w:line="240" w:lineRule="auto"/>
        <w:jc w:val="both"/>
        <w:rPr>
          <w:rFonts w:ascii="Arial" w:hAnsi="Arial" w:cs="Arial"/>
          <w:sz w:val="24"/>
          <w:szCs w:val="24"/>
        </w:rPr>
      </w:pPr>
    </w:p>
    <w:p w14:paraId="6FAB142B" w14:textId="77777777" w:rsidR="006F643D" w:rsidRDefault="00AA4174"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Bilchitz, citando a </w:t>
      </w:r>
      <w:r w:rsidR="001F0FED" w:rsidRPr="00517388">
        <w:rPr>
          <w:rFonts w:ascii="Arial" w:hAnsi="Arial" w:cs="Arial"/>
          <w:sz w:val="24"/>
          <w:szCs w:val="24"/>
        </w:rPr>
        <w:t>Henry Shue</w:t>
      </w:r>
      <w:r w:rsidRPr="00517388">
        <w:rPr>
          <w:rFonts w:ascii="Arial" w:hAnsi="Arial" w:cs="Arial"/>
          <w:sz w:val="24"/>
          <w:szCs w:val="24"/>
        </w:rPr>
        <w:t xml:space="preserve">, examina cuales deberían ser los criterios para identificar a los sujetos pasivos de las obligaciones positivas, indicando que desde la perspectiva de ese autor, </w:t>
      </w:r>
    </w:p>
    <w:p w14:paraId="38EE6A6F" w14:textId="77777777" w:rsidR="006F643D" w:rsidRDefault="006F643D" w:rsidP="00AB64B1">
      <w:pPr>
        <w:autoSpaceDE w:val="0"/>
        <w:autoSpaceDN w:val="0"/>
        <w:adjustRightInd w:val="0"/>
        <w:spacing w:after="0" w:line="240" w:lineRule="auto"/>
        <w:jc w:val="both"/>
        <w:rPr>
          <w:rFonts w:ascii="Arial" w:hAnsi="Arial" w:cs="Arial"/>
          <w:sz w:val="24"/>
          <w:szCs w:val="24"/>
        </w:rPr>
      </w:pPr>
    </w:p>
    <w:p w14:paraId="2CC333AB" w14:textId="087C15C1" w:rsidR="001F0FED" w:rsidRPr="006F643D" w:rsidRDefault="001F0FED" w:rsidP="006F643D">
      <w:pPr>
        <w:autoSpaceDE w:val="0"/>
        <w:autoSpaceDN w:val="0"/>
        <w:adjustRightInd w:val="0"/>
        <w:spacing w:after="0" w:line="240" w:lineRule="auto"/>
        <w:ind w:left="567" w:right="566"/>
        <w:jc w:val="both"/>
        <w:rPr>
          <w:rFonts w:ascii="Arial" w:hAnsi="Arial" w:cs="Arial"/>
          <w:i/>
          <w:sz w:val="24"/>
          <w:szCs w:val="24"/>
        </w:rPr>
      </w:pPr>
      <w:r w:rsidRPr="006F643D">
        <w:rPr>
          <w:rFonts w:ascii="Arial" w:hAnsi="Arial" w:cs="Arial"/>
          <w:i/>
          <w:sz w:val="24"/>
          <w:szCs w:val="24"/>
        </w:rPr>
        <w:lastRenderedPageBreak/>
        <w:t xml:space="preserve">se deben considerar dos factores en este sentido: el primero, el razonamiento de medios para lograr objetivos debe establecer qué se debe hacer para que se cumpla un derecho y, en vista de esto, se debe determinar quién es el que mejor puede realizar dichas tareas </w:t>
      </w:r>
      <w:r w:rsidR="00AA4174" w:rsidRPr="006F643D">
        <w:rPr>
          <w:rFonts w:ascii="Arial" w:hAnsi="Arial" w:cs="Arial"/>
          <w:i/>
          <w:sz w:val="24"/>
          <w:szCs w:val="24"/>
        </w:rPr>
        <w:t>(….)</w:t>
      </w:r>
      <w:r w:rsidRPr="006F643D">
        <w:rPr>
          <w:rFonts w:ascii="Arial" w:hAnsi="Arial" w:cs="Arial"/>
          <w:i/>
          <w:sz w:val="24"/>
          <w:szCs w:val="24"/>
        </w:rPr>
        <w:t xml:space="preserve"> El segundo, la asignación de obligaciones también depende de qué cargas son razonables y justas de imponen sobre agentes específicos.</w:t>
      </w:r>
      <w:r w:rsidR="00AA4174" w:rsidRPr="006F643D">
        <w:rPr>
          <w:rStyle w:val="Refdenotaalpie"/>
          <w:rFonts w:ascii="Arial" w:hAnsi="Arial" w:cs="Arial"/>
          <w:i/>
          <w:sz w:val="24"/>
          <w:szCs w:val="24"/>
        </w:rPr>
        <w:footnoteReference w:id="29"/>
      </w:r>
    </w:p>
    <w:p w14:paraId="0E7B45B8" w14:textId="77777777" w:rsidR="00880A23" w:rsidRPr="00517388" w:rsidRDefault="00880A23" w:rsidP="00AB64B1">
      <w:pPr>
        <w:autoSpaceDE w:val="0"/>
        <w:autoSpaceDN w:val="0"/>
        <w:adjustRightInd w:val="0"/>
        <w:spacing w:after="0" w:line="240" w:lineRule="auto"/>
        <w:jc w:val="both"/>
        <w:rPr>
          <w:rFonts w:ascii="Arial" w:hAnsi="Arial" w:cs="Arial"/>
          <w:sz w:val="24"/>
          <w:szCs w:val="24"/>
        </w:rPr>
      </w:pPr>
    </w:p>
    <w:p w14:paraId="35AA6031" w14:textId="489D06FA" w:rsidR="0079328C" w:rsidRPr="00517388" w:rsidRDefault="0079328C"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La obligación negativa es admisible pero jurídicamente insuficiente</w:t>
      </w:r>
      <w:r w:rsidR="006F643D">
        <w:rPr>
          <w:rFonts w:ascii="Arial" w:hAnsi="Arial" w:cs="Arial"/>
          <w:sz w:val="24"/>
          <w:szCs w:val="24"/>
        </w:rPr>
        <w:t>: aprehendida como</w:t>
      </w:r>
      <w:r w:rsidRPr="00517388">
        <w:rPr>
          <w:rFonts w:ascii="Arial" w:hAnsi="Arial" w:cs="Arial"/>
          <w:sz w:val="24"/>
          <w:szCs w:val="24"/>
        </w:rPr>
        <w:t xml:space="preserve"> obligación de </w:t>
      </w:r>
      <w:r w:rsidR="006F643D">
        <w:rPr>
          <w:rFonts w:ascii="Arial" w:hAnsi="Arial" w:cs="Arial"/>
          <w:sz w:val="24"/>
          <w:szCs w:val="24"/>
        </w:rPr>
        <w:t>“</w:t>
      </w:r>
      <w:r w:rsidRPr="00517388">
        <w:rPr>
          <w:rFonts w:ascii="Arial" w:hAnsi="Arial" w:cs="Arial"/>
          <w:sz w:val="24"/>
          <w:szCs w:val="24"/>
        </w:rPr>
        <w:t>respetar</w:t>
      </w:r>
      <w:r w:rsidR="006F643D">
        <w:rPr>
          <w:rFonts w:ascii="Arial" w:hAnsi="Arial" w:cs="Arial"/>
          <w:sz w:val="24"/>
          <w:szCs w:val="24"/>
        </w:rPr>
        <w:t>”</w:t>
      </w:r>
      <w:r w:rsidRPr="00517388">
        <w:rPr>
          <w:rFonts w:ascii="Arial" w:hAnsi="Arial" w:cs="Arial"/>
          <w:sz w:val="24"/>
          <w:szCs w:val="24"/>
        </w:rPr>
        <w:t xml:space="preserve"> los DDHH</w:t>
      </w:r>
      <w:r w:rsidR="00880B21">
        <w:rPr>
          <w:rFonts w:ascii="Arial" w:hAnsi="Arial" w:cs="Arial"/>
          <w:sz w:val="24"/>
          <w:szCs w:val="24"/>
        </w:rPr>
        <w:t>,</w:t>
      </w:r>
      <w:r w:rsidRPr="00517388">
        <w:rPr>
          <w:rFonts w:ascii="Arial" w:hAnsi="Arial" w:cs="Arial"/>
          <w:sz w:val="24"/>
          <w:szCs w:val="24"/>
        </w:rPr>
        <w:t xml:space="preserve"> puede </w:t>
      </w:r>
      <w:r w:rsidR="006F643D">
        <w:rPr>
          <w:rFonts w:ascii="Arial" w:hAnsi="Arial" w:cs="Arial"/>
          <w:sz w:val="24"/>
          <w:szCs w:val="24"/>
        </w:rPr>
        <w:t xml:space="preserve">operar </w:t>
      </w:r>
      <w:r w:rsidRPr="00517388">
        <w:rPr>
          <w:rFonts w:ascii="Arial" w:hAnsi="Arial" w:cs="Arial"/>
          <w:sz w:val="24"/>
          <w:szCs w:val="24"/>
        </w:rPr>
        <w:t xml:space="preserve">una cierta trasposición, o sea, </w:t>
      </w:r>
      <w:r w:rsidR="00880B21">
        <w:rPr>
          <w:rFonts w:ascii="Arial" w:hAnsi="Arial" w:cs="Arial"/>
          <w:sz w:val="24"/>
          <w:szCs w:val="24"/>
        </w:rPr>
        <w:t xml:space="preserve">poner de relieve </w:t>
      </w:r>
      <w:r w:rsidRPr="00517388">
        <w:rPr>
          <w:rFonts w:ascii="Arial" w:hAnsi="Arial" w:cs="Arial"/>
          <w:sz w:val="24"/>
          <w:szCs w:val="24"/>
        </w:rPr>
        <w:t xml:space="preserve">la </w:t>
      </w:r>
      <w:r w:rsidR="006F643D">
        <w:rPr>
          <w:rFonts w:ascii="Arial" w:hAnsi="Arial" w:cs="Arial"/>
          <w:sz w:val="24"/>
          <w:szCs w:val="24"/>
        </w:rPr>
        <w:t>c</w:t>
      </w:r>
      <w:r w:rsidRPr="00517388">
        <w:rPr>
          <w:rFonts w:ascii="Arial" w:hAnsi="Arial" w:cs="Arial"/>
          <w:sz w:val="24"/>
          <w:szCs w:val="24"/>
        </w:rPr>
        <w:t xml:space="preserve">onsideración especial </w:t>
      </w:r>
      <w:r w:rsidR="00880B21">
        <w:rPr>
          <w:rFonts w:ascii="Arial" w:hAnsi="Arial" w:cs="Arial"/>
          <w:sz w:val="24"/>
          <w:szCs w:val="24"/>
        </w:rPr>
        <w:t>que juega el “</w:t>
      </w:r>
      <w:r w:rsidRPr="00517388">
        <w:rPr>
          <w:rFonts w:ascii="Arial" w:hAnsi="Arial" w:cs="Arial"/>
          <w:sz w:val="24"/>
          <w:szCs w:val="24"/>
        </w:rPr>
        <w:t>no hacer</w:t>
      </w:r>
      <w:r w:rsidR="00880B21">
        <w:rPr>
          <w:rFonts w:ascii="Arial" w:hAnsi="Arial" w:cs="Arial"/>
          <w:sz w:val="24"/>
          <w:szCs w:val="24"/>
        </w:rPr>
        <w:t xml:space="preserve">” o “no dañar” como </w:t>
      </w:r>
      <w:r w:rsidRPr="00517388">
        <w:rPr>
          <w:rFonts w:ascii="Arial" w:hAnsi="Arial" w:cs="Arial"/>
          <w:sz w:val="24"/>
          <w:szCs w:val="24"/>
        </w:rPr>
        <w:t>supuesto</w:t>
      </w:r>
      <w:r w:rsidR="00880B21">
        <w:rPr>
          <w:rFonts w:ascii="Arial" w:hAnsi="Arial" w:cs="Arial"/>
          <w:sz w:val="24"/>
          <w:szCs w:val="24"/>
        </w:rPr>
        <w:t xml:space="preserve"> previo</w:t>
      </w:r>
      <w:r w:rsidR="00EA2CAD">
        <w:rPr>
          <w:rFonts w:ascii="Arial" w:hAnsi="Arial" w:cs="Arial"/>
          <w:sz w:val="24"/>
          <w:szCs w:val="24"/>
        </w:rPr>
        <w:t xml:space="preserve"> y complementario  de las obligaciones positivas sustantivas</w:t>
      </w:r>
      <w:r w:rsidR="00880B21">
        <w:rPr>
          <w:rFonts w:ascii="Arial" w:hAnsi="Arial" w:cs="Arial"/>
          <w:sz w:val="24"/>
          <w:szCs w:val="24"/>
        </w:rPr>
        <w:t>.</w:t>
      </w:r>
    </w:p>
    <w:p w14:paraId="7C5B12C4" w14:textId="77777777" w:rsidR="0079328C" w:rsidRPr="00517388" w:rsidRDefault="0079328C" w:rsidP="00AB64B1">
      <w:pPr>
        <w:autoSpaceDE w:val="0"/>
        <w:autoSpaceDN w:val="0"/>
        <w:adjustRightInd w:val="0"/>
        <w:spacing w:after="0" w:line="240" w:lineRule="auto"/>
        <w:jc w:val="both"/>
        <w:rPr>
          <w:rFonts w:ascii="Arial" w:hAnsi="Arial" w:cs="Arial"/>
          <w:sz w:val="24"/>
          <w:szCs w:val="24"/>
        </w:rPr>
      </w:pPr>
    </w:p>
    <w:p w14:paraId="3C355FBE" w14:textId="64391157" w:rsidR="00880A23" w:rsidRPr="00517388" w:rsidRDefault="0079328C"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 </w:t>
      </w:r>
    </w:p>
    <w:p w14:paraId="2A2E663B" w14:textId="72C90C63" w:rsidR="00880A23" w:rsidRPr="00517388" w:rsidRDefault="00880A23" w:rsidP="00AB64B1">
      <w:pPr>
        <w:autoSpaceDE w:val="0"/>
        <w:autoSpaceDN w:val="0"/>
        <w:adjustRightInd w:val="0"/>
        <w:spacing w:after="0" w:line="240" w:lineRule="auto"/>
        <w:jc w:val="both"/>
        <w:rPr>
          <w:rFonts w:ascii="Arial" w:hAnsi="Arial" w:cs="Arial"/>
          <w:i/>
          <w:sz w:val="24"/>
          <w:szCs w:val="24"/>
        </w:rPr>
      </w:pPr>
      <w:r w:rsidRPr="00517388">
        <w:rPr>
          <w:rFonts w:ascii="Arial" w:hAnsi="Arial" w:cs="Arial"/>
          <w:i/>
          <w:sz w:val="24"/>
          <w:szCs w:val="24"/>
        </w:rPr>
        <w:t xml:space="preserve">IV.3 Recepción del concepto de debida diligencia </w:t>
      </w:r>
      <w:r w:rsidR="00880B21">
        <w:rPr>
          <w:rFonts w:ascii="Arial" w:hAnsi="Arial" w:cs="Arial"/>
          <w:i/>
          <w:sz w:val="24"/>
          <w:szCs w:val="24"/>
        </w:rPr>
        <w:t>por</w:t>
      </w:r>
      <w:r w:rsidRPr="00517388">
        <w:rPr>
          <w:rFonts w:ascii="Arial" w:hAnsi="Arial" w:cs="Arial"/>
          <w:i/>
          <w:sz w:val="24"/>
          <w:szCs w:val="24"/>
        </w:rPr>
        <w:t xml:space="preserve"> la dogmática laboral</w:t>
      </w:r>
    </w:p>
    <w:p w14:paraId="7F8A61FE" w14:textId="77777777" w:rsidR="00880A23" w:rsidRPr="00517388" w:rsidRDefault="00880A23" w:rsidP="00AB64B1">
      <w:pPr>
        <w:autoSpaceDE w:val="0"/>
        <w:autoSpaceDN w:val="0"/>
        <w:adjustRightInd w:val="0"/>
        <w:spacing w:after="0" w:line="240" w:lineRule="auto"/>
        <w:jc w:val="both"/>
        <w:rPr>
          <w:rFonts w:ascii="Arial" w:hAnsi="Arial" w:cs="Arial"/>
          <w:sz w:val="24"/>
          <w:szCs w:val="24"/>
        </w:rPr>
      </w:pPr>
    </w:p>
    <w:p w14:paraId="43CD8524" w14:textId="77777777" w:rsidR="00C550D9" w:rsidRPr="00517388" w:rsidRDefault="0079328C"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Finalmente, es posible pensar que la estructura de la cultura jurídica prevalente en el Derecho del Trabajo será capaz de asimilar esta “novedad” del deber de diligencia </w:t>
      </w:r>
      <w:r w:rsidR="00C550D9" w:rsidRPr="00517388">
        <w:rPr>
          <w:rFonts w:ascii="Arial" w:hAnsi="Arial" w:cs="Arial"/>
          <w:sz w:val="24"/>
          <w:szCs w:val="24"/>
        </w:rPr>
        <w:t>sin que ello se traduzca en una alteración del sentido tradicional de nuestra disciplina.</w:t>
      </w:r>
    </w:p>
    <w:p w14:paraId="5AD7A1EB" w14:textId="77777777" w:rsidR="00C550D9" w:rsidRPr="00517388" w:rsidRDefault="00C550D9" w:rsidP="00AB64B1">
      <w:pPr>
        <w:autoSpaceDE w:val="0"/>
        <w:autoSpaceDN w:val="0"/>
        <w:adjustRightInd w:val="0"/>
        <w:spacing w:after="0" w:line="240" w:lineRule="auto"/>
        <w:jc w:val="both"/>
        <w:rPr>
          <w:rFonts w:ascii="Arial" w:hAnsi="Arial" w:cs="Arial"/>
          <w:sz w:val="24"/>
          <w:szCs w:val="24"/>
        </w:rPr>
      </w:pPr>
    </w:p>
    <w:p w14:paraId="6DF716E7" w14:textId="77777777" w:rsidR="00C550D9" w:rsidRPr="00517388" w:rsidRDefault="00C550D9"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Habría que encontrar entonces categorías jurídicas preexistentes en las cuales enmarcar, ajustar, asimilar, la debida diligencia como parte de las obligaciones del empleador.</w:t>
      </w:r>
    </w:p>
    <w:p w14:paraId="378C1465" w14:textId="77777777" w:rsidR="00C550D9" w:rsidRPr="00517388" w:rsidRDefault="00C550D9" w:rsidP="00AB64B1">
      <w:pPr>
        <w:autoSpaceDE w:val="0"/>
        <w:autoSpaceDN w:val="0"/>
        <w:adjustRightInd w:val="0"/>
        <w:spacing w:after="0" w:line="240" w:lineRule="auto"/>
        <w:jc w:val="both"/>
        <w:rPr>
          <w:rFonts w:ascii="Arial" w:hAnsi="Arial" w:cs="Arial"/>
          <w:sz w:val="24"/>
          <w:szCs w:val="24"/>
        </w:rPr>
      </w:pPr>
    </w:p>
    <w:p w14:paraId="40AAB827" w14:textId="43C6A442" w:rsidR="00EA2CAD" w:rsidRDefault="00C550D9" w:rsidP="00AB64B1">
      <w:pPr>
        <w:autoSpaceDE w:val="0"/>
        <w:autoSpaceDN w:val="0"/>
        <w:adjustRightInd w:val="0"/>
        <w:spacing w:after="0" w:line="240" w:lineRule="auto"/>
        <w:jc w:val="both"/>
        <w:rPr>
          <w:rFonts w:ascii="Arial" w:hAnsi="Arial" w:cs="Arial"/>
          <w:sz w:val="24"/>
          <w:szCs w:val="24"/>
        </w:rPr>
      </w:pPr>
      <w:r w:rsidRPr="00517388">
        <w:rPr>
          <w:rFonts w:ascii="Arial" w:hAnsi="Arial" w:cs="Arial"/>
          <w:sz w:val="24"/>
          <w:szCs w:val="24"/>
        </w:rPr>
        <w:t xml:space="preserve">Se trataría, por ejemplo, de incorporar este deber dentro </w:t>
      </w:r>
      <w:r w:rsidR="0079328C" w:rsidRPr="00517388">
        <w:rPr>
          <w:rFonts w:ascii="Arial" w:hAnsi="Arial" w:cs="Arial"/>
          <w:sz w:val="24"/>
          <w:szCs w:val="24"/>
        </w:rPr>
        <w:t xml:space="preserve">del elenco de obligaciones del empleador, </w:t>
      </w:r>
      <w:r w:rsidR="00EA2CAD">
        <w:rPr>
          <w:rFonts w:ascii="Arial" w:hAnsi="Arial" w:cs="Arial"/>
          <w:sz w:val="24"/>
          <w:szCs w:val="24"/>
        </w:rPr>
        <w:t xml:space="preserve">para lo cual comportaría </w:t>
      </w:r>
      <w:r w:rsidR="0079328C" w:rsidRPr="00517388">
        <w:rPr>
          <w:rFonts w:ascii="Arial" w:hAnsi="Arial" w:cs="Arial"/>
          <w:sz w:val="24"/>
          <w:szCs w:val="24"/>
        </w:rPr>
        <w:t xml:space="preserve">una especial cualificación </w:t>
      </w:r>
      <w:r w:rsidRPr="00517388">
        <w:rPr>
          <w:rFonts w:ascii="Arial" w:hAnsi="Arial" w:cs="Arial"/>
          <w:sz w:val="24"/>
          <w:szCs w:val="24"/>
        </w:rPr>
        <w:t>dentro de las categorías</w:t>
      </w:r>
      <w:r w:rsidR="00EA2CAD">
        <w:rPr>
          <w:rFonts w:ascii="Arial" w:hAnsi="Arial" w:cs="Arial"/>
          <w:sz w:val="24"/>
          <w:szCs w:val="24"/>
        </w:rPr>
        <w:t xml:space="preserve"> de obligaciones adaptadas </w:t>
      </w:r>
      <w:r w:rsidRPr="00517388">
        <w:rPr>
          <w:rFonts w:ascii="Arial" w:hAnsi="Arial" w:cs="Arial"/>
          <w:sz w:val="24"/>
          <w:szCs w:val="24"/>
        </w:rPr>
        <w:t xml:space="preserve">del derecho común, como es el paradigma del “buen empleador”, que es quien se comporta, justamente, con diligencia del buen padre de familia </w:t>
      </w:r>
      <w:r w:rsidR="00EA2CAD">
        <w:rPr>
          <w:rFonts w:ascii="Arial" w:hAnsi="Arial" w:cs="Arial"/>
          <w:sz w:val="24"/>
          <w:szCs w:val="24"/>
        </w:rPr>
        <w:t>en su relación con los dependientes.</w:t>
      </w:r>
      <w:r w:rsidR="00077F3C">
        <w:rPr>
          <w:rFonts w:ascii="Arial" w:hAnsi="Arial" w:cs="Arial"/>
          <w:sz w:val="24"/>
          <w:szCs w:val="24"/>
        </w:rPr>
        <w:t xml:space="preserve"> </w:t>
      </w:r>
    </w:p>
    <w:p w14:paraId="4C5A809A" w14:textId="77777777" w:rsidR="00EA2CAD" w:rsidRDefault="00EA2CAD" w:rsidP="00AB64B1">
      <w:pPr>
        <w:autoSpaceDE w:val="0"/>
        <w:autoSpaceDN w:val="0"/>
        <w:adjustRightInd w:val="0"/>
        <w:spacing w:after="0" w:line="240" w:lineRule="auto"/>
        <w:jc w:val="both"/>
        <w:rPr>
          <w:rFonts w:ascii="Arial" w:hAnsi="Arial" w:cs="Arial"/>
          <w:sz w:val="24"/>
          <w:szCs w:val="24"/>
        </w:rPr>
      </w:pPr>
    </w:p>
    <w:p w14:paraId="47BFAD9F" w14:textId="77777777" w:rsidR="00E02B4A" w:rsidRDefault="00EA2CAD" w:rsidP="00AB64B1">
      <w:pPr>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Esta recepción en los carriles del derecho del trabajo estaría no obstante bajo la impronta del </w:t>
      </w:r>
      <w:r w:rsidR="00077F3C">
        <w:rPr>
          <w:rFonts w:ascii="Arial" w:hAnsi="Arial" w:cs="Arial"/>
          <w:sz w:val="24"/>
          <w:szCs w:val="24"/>
        </w:rPr>
        <w:t xml:space="preserve">régimen clásico de responsabilidad, </w:t>
      </w:r>
      <w:r>
        <w:rPr>
          <w:rFonts w:ascii="Arial" w:hAnsi="Arial" w:cs="Arial"/>
          <w:sz w:val="24"/>
          <w:szCs w:val="24"/>
        </w:rPr>
        <w:t>lo que no deja de ser una lim</w:t>
      </w:r>
      <w:r w:rsidR="00E02B4A">
        <w:rPr>
          <w:rFonts w:ascii="Arial" w:hAnsi="Arial" w:cs="Arial"/>
          <w:sz w:val="24"/>
          <w:szCs w:val="24"/>
        </w:rPr>
        <w:t xml:space="preserve">itante y un debilitamiento de la protección laboral, ya que de acompasarse a </w:t>
      </w:r>
      <w:r>
        <w:rPr>
          <w:rFonts w:ascii="Arial" w:hAnsi="Arial" w:cs="Arial"/>
          <w:sz w:val="24"/>
          <w:szCs w:val="24"/>
        </w:rPr>
        <w:t>la secuencia</w:t>
      </w:r>
      <w:r w:rsidR="00077F3C">
        <w:rPr>
          <w:rFonts w:ascii="Arial" w:hAnsi="Arial" w:cs="Arial"/>
          <w:sz w:val="24"/>
          <w:szCs w:val="24"/>
        </w:rPr>
        <w:t xml:space="preserve"> </w:t>
      </w:r>
      <w:r w:rsidR="00077F3C" w:rsidRPr="00E02B4A">
        <w:rPr>
          <w:rFonts w:ascii="Arial" w:hAnsi="Arial" w:cs="Arial"/>
          <w:i/>
          <w:sz w:val="24"/>
          <w:szCs w:val="24"/>
        </w:rPr>
        <w:t>culpa/daño y causalidad,</w:t>
      </w:r>
      <w:r w:rsidR="00077F3C">
        <w:rPr>
          <w:rFonts w:ascii="Arial" w:hAnsi="Arial" w:cs="Arial"/>
          <w:sz w:val="24"/>
          <w:szCs w:val="24"/>
        </w:rPr>
        <w:t xml:space="preserve"> con ca</w:t>
      </w:r>
      <w:r>
        <w:rPr>
          <w:rFonts w:ascii="Arial" w:hAnsi="Arial" w:cs="Arial"/>
          <w:sz w:val="24"/>
          <w:szCs w:val="24"/>
        </w:rPr>
        <w:t xml:space="preserve">rga de la prueba del trabajador, </w:t>
      </w:r>
      <w:r w:rsidR="00E02B4A">
        <w:rPr>
          <w:rFonts w:ascii="Arial" w:hAnsi="Arial" w:cs="Arial"/>
          <w:sz w:val="24"/>
          <w:szCs w:val="24"/>
        </w:rPr>
        <w:t xml:space="preserve">deja como única alternativa de recomposición tutelar el </w:t>
      </w:r>
      <w:r w:rsidR="00077F3C">
        <w:rPr>
          <w:rFonts w:ascii="Arial" w:hAnsi="Arial" w:cs="Arial"/>
          <w:sz w:val="24"/>
          <w:szCs w:val="24"/>
        </w:rPr>
        <w:t xml:space="preserve">arbitrio de los tribunales </w:t>
      </w:r>
      <w:r w:rsidR="00E02B4A">
        <w:rPr>
          <w:rFonts w:ascii="Arial" w:hAnsi="Arial" w:cs="Arial"/>
          <w:sz w:val="24"/>
          <w:szCs w:val="24"/>
        </w:rPr>
        <w:t xml:space="preserve">en </w:t>
      </w:r>
      <w:r w:rsidR="00077F3C">
        <w:rPr>
          <w:rFonts w:ascii="Arial" w:hAnsi="Arial" w:cs="Arial"/>
          <w:sz w:val="24"/>
          <w:szCs w:val="24"/>
        </w:rPr>
        <w:t>hacer jugar doctrinas como las “cargas dinámicas” u otras que permitan mayor flexibilidad en la apreciación.</w:t>
      </w:r>
      <w:r w:rsidR="00EF781F">
        <w:rPr>
          <w:rFonts w:ascii="Arial" w:hAnsi="Arial" w:cs="Arial"/>
          <w:sz w:val="24"/>
          <w:szCs w:val="24"/>
        </w:rPr>
        <w:t xml:space="preserve"> </w:t>
      </w:r>
    </w:p>
    <w:p w14:paraId="55F4C140" w14:textId="77777777" w:rsidR="00E02B4A" w:rsidRDefault="00E02B4A" w:rsidP="00AB64B1">
      <w:pPr>
        <w:autoSpaceDE w:val="0"/>
        <w:autoSpaceDN w:val="0"/>
        <w:adjustRightInd w:val="0"/>
        <w:spacing w:after="0" w:line="240" w:lineRule="auto"/>
        <w:jc w:val="both"/>
        <w:rPr>
          <w:rFonts w:ascii="Arial" w:hAnsi="Arial" w:cs="Arial"/>
          <w:sz w:val="24"/>
          <w:szCs w:val="24"/>
        </w:rPr>
      </w:pPr>
    </w:p>
    <w:p w14:paraId="1AADEEAA" w14:textId="79DEA966" w:rsidR="00C550D9" w:rsidRPr="00517388" w:rsidRDefault="00EF781F" w:rsidP="00AB64B1">
      <w:pPr>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Queda </w:t>
      </w:r>
      <w:r w:rsidR="00E02B4A">
        <w:rPr>
          <w:rFonts w:ascii="Arial" w:hAnsi="Arial" w:cs="Arial"/>
          <w:sz w:val="24"/>
          <w:szCs w:val="24"/>
        </w:rPr>
        <w:t xml:space="preserve">así </w:t>
      </w:r>
      <w:r>
        <w:rPr>
          <w:rFonts w:ascii="Arial" w:hAnsi="Arial" w:cs="Arial"/>
          <w:sz w:val="24"/>
          <w:szCs w:val="24"/>
        </w:rPr>
        <w:t xml:space="preserve">fuera de foco la responsabilidad objetiva, que es la única que permite el maridaje </w:t>
      </w:r>
      <w:r w:rsidR="00C13BED">
        <w:rPr>
          <w:rFonts w:ascii="Arial" w:hAnsi="Arial" w:cs="Arial"/>
          <w:sz w:val="24"/>
          <w:szCs w:val="24"/>
        </w:rPr>
        <w:t xml:space="preserve">perfecto </w:t>
      </w:r>
      <w:r>
        <w:rPr>
          <w:rFonts w:ascii="Arial" w:hAnsi="Arial" w:cs="Arial"/>
          <w:sz w:val="24"/>
          <w:szCs w:val="24"/>
        </w:rPr>
        <w:t>entre prevención y resarcimiento</w:t>
      </w:r>
      <w:r w:rsidR="00C13BED">
        <w:rPr>
          <w:rStyle w:val="Refdenotaalpie"/>
          <w:rFonts w:ascii="Arial" w:hAnsi="Arial" w:cs="Arial"/>
          <w:sz w:val="24"/>
          <w:szCs w:val="24"/>
        </w:rPr>
        <w:footnoteReference w:id="30"/>
      </w:r>
      <w:r w:rsidR="00C13BED">
        <w:rPr>
          <w:rFonts w:ascii="Arial" w:hAnsi="Arial" w:cs="Arial"/>
          <w:sz w:val="24"/>
          <w:szCs w:val="24"/>
        </w:rPr>
        <w:t>.</w:t>
      </w:r>
    </w:p>
    <w:p w14:paraId="11101927" w14:textId="77777777" w:rsidR="00C550D9" w:rsidRPr="00517388" w:rsidRDefault="00C550D9" w:rsidP="00AB64B1">
      <w:pPr>
        <w:autoSpaceDE w:val="0"/>
        <w:autoSpaceDN w:val="0"/>
        <w:adjustRightInd w:val="0"/>
        <w:spacing w:after="0" w:line="240" w:lineRule="auto"/>
        <w:jc w:val="both"/>
        <w:rPr>
          <w:rFonts w:ascii="Arial" w:hAnsi="Arial" w:cs="Arial"/>
          <w:sz w:val="24"/>
          <w:szCs w:val="24"/>
        </w:rPr>
      </w:pPr>
    </w:p>
    <w:p w14:paraId="0AD3632E" w14:textId="77777777" w:rsidR="00E02B4A" w:rsidRDefault="00E02B4A" w:rsidP="00AB64B1">
      <w:pPr>
        <w:autoSpaceDE w:val="0"/>
        <w:autoSpaceDN w:val="0"/>
        <w:adjustRightInd w:val="0"/>
        <w:spacing w:after="0" w:line="240" w:lineRule="auto"/>
        <w:jc w:val="both"/>
        <w:rPr>
          <w:rFonts w:ascii="Arial" w:hAnsi="Arial" w:cs="Arial"/>
          <w:sz w:val="24"/>
          <w:szCs w:val="24"/>
        </w:rPr>
      </w:pPr>
      <w:r>
        <w:rPr>
          <w:rFonts w:ascii="Arial" w:hAnsi="Arial" w:cs="Arial"/>
          <w:sz w:val="24"/>
          <w:szCs w:val="24"/>
        </w:rPr>
        <w:t>En el plano de los principios del derecho del trabajo, el deber de diligencia podría encuadrarse en alguna de las manifestaciones de la buena fe y/o la razonabilidad, dentro de la enumeración que ha hecho Plá Rodríguez.</w:t>
      </w:r>
      <w:r>
        <w:rPr>
          <w:rStyle w:val="Refdenotaalpie"/>
          <w:rFonts w:ascii="Arial" w:hAnsi="Arial" w:cs="Arial"/>
          <w:sz w:val="24"/>
          <w:szCs w:val="24"/>
        </w:rPr>
        <w:footnoteReference w:id="31"/>
      </w:r>
    </w:p>
    <w:p w14:paraId="45A9E36E" w14:textId="77777777" w:rsidR="00E02B4A" w:rsidRDefault="00E02B4A" w:rsidP="00AB64B1">
      <w:pPr>
        <w:autoSpaceDE w:val="0"/>
        <w:autoSpaceDN w:val="0"/>
        <w:adjustRightInd w:val="0"/>
        <w:spacing w:after="0" w:line="240" w:lineRule="auto"/>
        <w:jc w:val="both"/>
        <w:rPr>
          <w:rFonts w:ascii="Arial" w:hAnsi="Arial" w:cs="Arial"/>
          <w:sz w:val="24"/>
          <w:szCs w:val="24"/>
        </w:rPr>
      </w:pPr>
    </w:p>
    <w:p w14:paraId="3754D5E8" w14:textId="4B71D275" w:rsidR="00C550D9" w:rsidRPr="00517388" w:rsidRDefault="00E02B4A" w:rsidP="00AB64B1">
      <w:pPr>
        <w:autoSpaceDE w:val="0"/>
        <w:autoSpaceDN w:val="0"/>
        <w:adjustRightInd w:val="0"/>
        <w:spacing w:after="0" w:line="240" w:lineRule="auto"/>
        <w:jc w:val="both"/>
        <w:rPr>
          <w:rFonts w:ascii="Arial" w:hAnsi="Arial" w:cs="Arial"/>
          <w:sz w:val="24"/>
          <w:szCs w:val="24"/>
        </w:rPr>
      </w:pPr>
      <w:r>
        <w:rPr>
          <w:rFonts w:ascii="Arial" w:hAnsi="Arial" w:cs="Arial"/>
          <w:sz w:val="24"/>
          <w:szCs w:val="24"/>
        </w:rPr>
        <w:t>Entendemos preferible esta última opción, en razón que se integraría así a una estructura que es componente central de la cultura jurídica de la región, que está suficientemente asentada en el campo de la enseñanza y la aplicación del Derecho del Trabajo. Podría ostentar así una f</w:t>
      </w:r>
      <w:r w:rsidR="005722A8">
        <w:rPr>
          <w:rFonts w:ascii="Arial" w:hAnsi="Arial" w:cs="Arial"/>
          <w:sz w:val="24"/>
          <w:szCs w:val="24"/>
        </w:rPr>
        <w:t xml:space="preserve">unción meramente instrumental, dentro de otras herramientas de valoración de </w:t>
      </w:r>
      <w:r>
        <w:rPr>
          <w:rFonts w:ascii="Arial" w:hAnsi="Arial" w:cs="Arial"/>
          <w:sz w:val="24"/>
          <w:szCs w:val="24"/>
        </w:rPr>
        <w:t>las conductas</w:t>
      </w:r>
      <w:r w:rsidR="005722A8">
        <w:rPr>
          <w:rFonts w:ascii="Arial" w:hAnsi="Arial" w:cs="Arial"/>
          <w:sz w:val="24"/>
          <w:szCs w:val="24"/>
        </w:rPr>
        <w:t xml:space="preserve"> y sin que de ningún modo pueda pretenderse que asuma el nivel protagónico ni de obligación principal en las relaciones de trabajo</w:t>
      </w:r>
      <w:r>
        <w:rPr>
          <w:rFonts w:ascii="Arial" w:hAnsi="Arial" w:cs="Arial"/>
          <w:sz w:val="24"/>
          <w:szCs w:val="24"/>
        </w:rPr>
        <w:t xml:space="preserve">. </w:t>
      </w:r>
    </w:p>
    <w:p w14:paraId="0A270004" w14:textId="1CCE58A9" w:rsidR="00C550D9" w:rsidRPr="00517388" w:rsidRDefault="00C550D9" w:rsidP="00AB64B1">
      <w:pPr>
        <w:autoSpaceDE w:val="0"/>
        <w:autoSpaceDN w:val="0"/>
        <w:adjustRightInd w:val="0"/>
        <w:spacing w:after="0" w:line="240" w:lineRule="auto"/>
        <w:jc w:val="both"/>
        <w:rPr>
          <w:rFonts w:ascii="Arial" w:hAnsi="Arial" w:cs="Arial"/>
          <w:sz w:val="24"/>
          <w:szCs w:val="24"/>
        </w:rPr>
      </w:pPr>
    </w:p>
    <w:sectPr w:rsidR="00C550D9" w:rsidRPr="0051738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297DED" w14:textId="77777777" w:rsidR="001F1B1E" w:rsidRDefault="001F1B1E" w:rsidP="00ED1FBD">
      <w:pPr>
        <w:spacing w:after="0" w:line="240" w:lineRule="auto"/>
      </w:pPr>
      <w:r>
        <w:separator/>
      </w:r>
    </w:p>
  </w:endnote>
  <w:endnote w:type="continuationSeparator" w:id="0">
    <w:p w14:paraId="352DFC3C" w14:textId="77777777" w:rsidR="001F1B1E" w:rsidRDefault="001F1B1E" w:rsidP="00ED1F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0EC6AC" w14:textId="77777777" w:rsidR="001F1B1E" w:rsidRDefault="001F1B1E" w:rsidP="00ED1FBD">
      <w:pPr>
        <w:spacing w:after="0" w:line="240" w:lineRule="auto"/>
      </w:pPr>
      <w:r>
        <w:separator/>
      </w:r>
    </w:p>
  </w:footnote>
  <w:footnote w:type="continuationSeparator" w:id="0">
    <w:p w14:paraId="0C93DF42" w14:textId="77777777" w:rsidR="001F1B1E" w:rsidRDefault="001F1B1E" w:rsidP="00ED1FBD">
      <w:pPr>
        <w:spacing w:after="0" w:line="240" w:lineRule="auto"/>
      </w:pPr>
      <w:r>
        <w:continuationSeparator/>
      </w:r>
    </w:p>
  </w:footnote>
  <w:footnote w:id="1">
    <w:p w14:paraId="21A3CDA1" w14:textId="692FF010" w:rsidR="00EA2CAD" w:rsidRPr="00517388" w:rsidRDefault="00EA2CAD" w:rsidP="00517388">
      <w:pPr>
        <w:pStyle w:val="Textonotapie"/>
        <w:jc w:val="both"/>
        <w:rPr>
          <w:rFonts w:ascii="Arial" w:hAnsi="Arial" w:cs="Arial"/>
        </w:rPr>
      </w:pPr>
      <w:r w:rsidRPr="00517388">
        <w:rPr>
          <w:rStyle w:val="Refdenotaalpie"/>
          <w:rFonts w:ascii="Arial" w:hAnsi="Arial" w:cs="Arial"/>
        </w:rPr>
        <w:sym w:font="Symbol" w:char="F02A"/>
      </w:r>
      <w:r w:rsidRPr="00517388">
        <w:rPr>
          <w:rFonts w:ascii="Arial" w:hAnsi="Arial" w:cs="Arial"/>
        </w:rPr>
        <w:t xml:space="preserve"> Catedrático de Derecho del Trabajo y la Seguridad Social</w:t>
      </w:r>
      <w:r w:rsidR="00825423">
        <w:rPr>
          <w:rFonts w:ascii="Arial" w:hAnsi="Arial" w:cs="Arial"/>
        </w:rPr>
        <w:t>. Coordinador de redacción de la revista Derecho Laboral</w:t>
      </w:r>
    </w:p>
  </w:footnote>
  <w:footnote w:id="2">
    <w:p w14:paraId="28C53F7E" w14:textId="38E19A7A" w:rsidR="00EA2CAD" w:rsidRDefault="00EA2CAD" w:rsidP="00DD12D8">
      <w:pPr>
        <w:pStyle w:val="Textonotapie"/>
        <w:jc w:val="both"/>
      </w:pPr>
      <w:r>
        <w:rPr>
          <w:rStyle w:val="Refdenotaalpie"/>
        </w:rPr>
        <w:footnoteRef/>
      </w:r>
      <w:r>
        <w:t xml:space="preserve"> </w:t>
      </w:r>
      <w:r w:rsidRPr="00DD12D8">
        <w:rPr>
          <w:rFonts w:ascii="Arial" w:hAnsi="Arial" w:cs="Arial"/>
        </w:rPr>
        <w:t>Con todo, el origen del deber de diligencia parece ser más lejano, situado en “las fuentes del derecho internacional público y privado norteamericano y del derecho mercantil” de donde “migra” al derecho continental europeo, lo que “constituye asimismo una ocasión para interrogarse de manera crítica sobre el sentido y el interés – político y económico – de exportar una noción jurídica a otros sistemas jurídicos, un movimiento que lejos de ser neutro, se sitúa en la base de un proyecto político apenas disimulado por un velo técnico</w:t>
      </w:r>
      <w:r>
        <w:rPr>
          <w:rFonts w:ascii="Arial" w:hAnsi="Arial" w:cs="Arial"/>
        </w:rPr>
        <w:t xml:space="preserve">”. Ver: Daugareilh, Isabelle. </w:t>
      </w:r>
      <w:r w:rsidRPr="00DD12D8">
        <w:rPr>
          <w:rFonts w:ascii="Arial" w:hAnsi="Arial" w:cs="Arial"/>
          <w:i/>
        </w:rPr>
        <w:t xml:space="preserve">“La ley francesa sobre el deber de vigilancia de las sociedades matrices y contratistas: entre renuncias y promesas”, </w:t>
      </w:r>
      <w:r>
        <w:rPr>
          <w:rFonts w:ascii="Arial" w:hAnsi="Arial" w:cs="Arial"/>
        </w:rPr>
        <w:t>en el vol. Impacto laboral de las redes empresariales. Wilfredo Sanguinetti y Juan Bautista Vivero (Dir.) Granada, 2018.</w:t>
      </w:r>
    </w:p>
  </w:footnote>
  <w:footnote w:id="3">
    <w:p w14:paraId="50E63823" w14:textId="700AA3AB" w:rsidR="00EA2CAD" w:rsidRPr="00517388" w:rsidRDefault="00EA2CAD" w:rsidP="00517388">
      <w:pPr>
        <w:pStyle w:val="Textonotapie"/>
        <w:jc w:val="both"/>
        <w:rPr>
          <w:rFonts w:ascii="Arial" w:hAnsi="Arial" w:cs="Arial"/>
          <w:lang w:val="es-ES"/>
        </w:rPr>
      </w:pPr>
      <w:r w:rsidRPr="00517388">
        <w:rPr>
          <w:rStyle w:val="Refdenotaalpie"/>
          <w:rFonts w:ascii="Arial" w:hAnsi="Arial" w:cs="Arial"/>
        </w:rPr>
        <w:footnoteRef/>
      </w:r>
      <w:r w:rsidRPr="00517388">
        <w:rPr>
          <w:rFonts w:ascii="Arial" w:hAnsi="Arial" w:cs="Arial"/>
        </w:rPr>
        <w:t xml:space="preserve"> </w:t>
      </w:r>
      <w:r w:rsidRPr="00517388">
        <w:rPr>
          <w:rFonts w:ascii="Arial" w:hAnsi="Arial" w:cs="Arial"/>
          <w:lang w:val="es-ES"/>
        </w:rPr>
        <w:t>García Elorrio, Magdalena. “</w:t>
      </w:r>
      <w:r w:rsidRPr="00517388">
        <w:rPr>
          <w:rFonts w:ascii="Arial" w:hAnsi="Arial" w:cs="Arial"/>
          <w:i/>
          <w:lang w:val="es-ES"/>
        </w:rPr>
        <w:t>Algunas consideraciones en torno a la naturaleza y alcance de la noción de diligencia debida en la Corte Interamericana de Derechos Humanos”</w:t>
      </w:r>
      <w:r w:rsidRPr="00517388">
        <w:rPr>
          <w:rFonts w:ascii="Arial" w:hAnsi="Arial" w:cs="Arial"/>
          <w:lang w:val="es-ES"/>
        </w:rPr>
        <w:t xml:space="preserve"> en https://revistas.psi.unc.edu.ar/index.php/recordip/article/view/286/284</w:t>
      </w:r>
    </w:p>
  </w:footnote>
  <w:footnote w:id="4">
    <w:p w14:paraId="24146A30" w14:textId="3E93B820" w:rsidR="00EA2CAD" w:rsidRPr="00517388" w:rsidRDefault="00EA2CAD" w:rsidP="00517388">
      <w:pPr>
        <w:autoSpaceDE w:val="0"/>
        <w:autoSpaceDN w:val="0"/>
        <w:adjustRightInd w:val="0"/>
        <w:spacing w:after="0" w:line="240" w:lineRule="auto"/>
        <w:jc w:val="both"/>
        <w:rPr>
          <w:rFonts w:ascii="Arial" w:hAnsi="Arial" w:cs="Arial"/>
          <w:sz w:val="20"/>
          <w:szCs w:val="20"/>
        </w:rPr>
      </w:pPr>
      <w:r w:rsidRPr="00517388">
        <w:rPr>
          <w:rStyle w:val="Refdenotaalpie"/>
          <w:rFonts w:ascii="Arial" w:hAnsi="Arial" w:cs="Arial"/>
          <w:sz w:val="20"/>
          <w:szCs w:val="20"/>
        </w:rPr>
        <w:footnoteRef/>
      </w:r>
      <w:r w:rsidRPr="00517388">
        <w:rPr>
          <w:rFonts w:ascii="Arial" w:hAnsi="Arial" w:cs="Arial"/>
          <w:sz w:val="20"/>
          <w:szCs w:val="20"/>
        </w:rPr>
        <w:t xml:space="preserve"> De León, Gisela. Kristicevic, Viviana. Obando, Luis. “</w:t>
      </w:r>
      <w:r w:rsidRPr="00517388">
        <w:rPr>
          <w:rFonts w:ascii="Arial" w:hAnsi="Arial" w:cs="Arial"/>
          <w:i/>
          <w:sz w:val="20"/>
          <w:szCs w:val="20"/>
        </w:rPr>
        <w:t>Debida diligencia en la investigación de graves violaciones a Derechos Humanos”</w:t>
      </w:r>
      <w:r w:rsidRPr="00517388">
        <w:rPr>
          <w:rFonts w:ascii="Arial" w:hAnsi="Arial" w:cs="Arial"/>
          <w:sz w:val="20"/>
          <w:szCs w:val="20"/>
        </w:rPr>
        <w:t>. Centro por la Justicia y el Derecho Internacional. Buenos Aires, 2010</w:t>
      </w:r>
    </w:p>
    <w:p w14:paraId="0249D87B" w14:textId="75C59AC8" w:rsidR="00EA2CAD" w:rsidRPr="00517388" w:rsidRDefault="00EA2CAD" w:rsidP="00517388">
      <w:pPr>
        <w:pStyle w:val="Textonotapie"/>
        <w:jc w:val="both"/>
        <w:rPr>
          <w:rFonts w:ascii="Arial" w:hAnsi="Arial" w:cs="Arial"/>
        </w:rPr>
      </w:pPr>
    </w:p>
  </w:footnote>
  <w:footnote w:id="5">
    <w:p w14:paraId="0DF374BE" w14:textId="2820AB2D" w:rsidR="00EA2CAD" w:rsidRPr="00517388" w:rsidRDefault="00EA2CAD" w:rsidP="00517388">
      <w:pPr>
        <w:autoSpaceDE w:val="0"/>
        <w:autoSpaceDN w:val="0"/>
        <w:adjustRightInd w:val="0"/>
        <w:spacing w:after="0" w:line="240" w:lineRule="auto"/>
        <w:jc w:val="both"/>
        <w:rPr>
          <w:rFonts w:ascii="Arial" w:hAnsi="Arial" w:cs="Arial"/>
          <w:sz w:val="20"/>
          <w:szCs w:val="20"/>
        </w:rPr>
      </w:pPr>
      <w:r w:rsidRPr="00517388">
        <w:rPr>
          <w:rStyle w:val="Refdenotaalpie"/>
          <w:rFonts w:ascii="Arial" w:hAnsi="Arial" w:cs="Arial"/>
          <w:sz w:val="20"/>
          <w:szCs w:val="20"/>
        </w:rPr>
        <w:footnoteRef/>
      </w:r>
      <w:r w:rsidRPr="00517388">
        <w:rPr>
          <w:rFonts w:ascii="Arial" w:hAnsi="Arial" w:cs="Arial"/>
          <w:sz w:val="20"/>
          <w:szCs w:val="20"/>
        </w:rPr>
        <w:t xml:space="preserve"> La investigación en materia de DDHH se encuentra protocolizada en una serie de documentos, como el </w:t>
      </w:r>
      <w:r w:rsidRPr="00517388">
        <w:rPr>
          <w:rFonts w:ascii="Arial" w:hAnsi="Arial" w:cs="Arial"/>
          <w:i/>
          <w:iCs/>
          <w:sz w:val="20"/>
          <w:szCs w:val="20"/>
        </w:rPr>
        <w:t>Manual sobre la prevención e investigación eficaces de las ejecuciones extralegales, arbitrarias o sumarias</w:t>
      </w:r>
      <w:r w:rsidRPr="00517388">
        <w:rPr>
          <w:rFonts w:ascii="Arial" w:hAnsi="Arial" w:cs="Arial"/>
          <w:sz w:val="20"/>
          <w:szCs w:val="20"/>
        </w:rPr>
        <w:t xml:space="preserve">, conocido como “Protocolo de Minnesota”, adoptado por la Organización de las Naciones Unidas en 1991 y el </w:t>
      </w:r>
      <w:r w:rsidRPr="00517388">
        <w:rPr>
          <w:rFonts w:ascii="Arial" w:hAnsi="Arial" w:cs="Arial"/>
          <w:i/>
          <w:iCs/>
          <w:sz w:val="20"/>
          <w:szCs w:val="20"/>
        </w:rPr>
        <w:t xml:space="preserve">Manual para la investigación y documentación eficaces de la tortura y otros tratos o penas crueles, inhumanos o degradantes, denominado como </w:t>
      </w:r>
      <w:r w:rsidRPr="00517388">
        <w:rPr>
          <w:rFonts w:ascii="Arial" w:hAnsi="Arial" w:cs="Arial"/>
          <w:sz w:val="20"/>
          <w:szCs w:val="20"/>
        </w:rPr>
        <w:t xml:space="preserve"> “Protocolo de Estambul”, de 1999, entre otros. De León, Kristicevic y Obando, ob cit.</w:t>
      </w:r>
    </w:p>
    <w:p w14:paraId="38052291" w14:textId="39EFF079" w:rsidR="00EA2CAD" w:rsidRPr="00517388" w:rsidRDefault="00EA2CAD" w:rsidP="00517388">
      <w:pPr>
        <w:pStyle w:val="Textonotapie"/>
        <w:jc w:val="both"/>
        <w:rPr>
          <w:rFonts w:ascii="Arial" w:hAnsi="Arial" w:cs="Arial"/>
          <w:lang w:val="es-ES"/>
        </w:rPr>
      </w:pPr>
    </w:p>
  </w:footnote>
  <w:footnote w:id="6">
    <w:p w14:paraId="62DC7967" w14:textId="23E579E1" w:rsidR="00EA2CAD" w:rsidRPr="00517388" w:rsidRDefault="00EA2CAD" w:rsidP="00517388">
      <w:pPr>
        <w:pStyle w:val="Textonotapie"/>
        <w:jc w:val="both"/>
        <w:rPr>
          <w:rFonts w:ascii="Arial" w:hAnsi="Arial" w:cs="Arial"/>
          <w:lang w:val="es-ES"/>
        </w:rPr>
      </w:pPr>
      <w:r w:rsidRPr="00517388">
        <w:rPr>
          <w:rStyle w:val="Refdenotaalpie"/>
          <w:rFonts w:ascii="Arial" w:hAnsi="Arial" w:cs="Arial"/>
        </w:rPr>
        <w:footnoteRef/>
      </w:r>
      <w:r w:rsidRPr="00517388">
        <w:rPr>
          <w:rFonts w:ascii="Arial" w:hAnsi="Arial" w:cs="Arial"/>
        </w:rPr>
        <w:t xml:space="preserve"> </w:t>
      </w:r>
      <w:r w:rsidRPr="00517388">
        <w:rPr>
          <w:rFonts w:ascii="Arial" w:hAnsi="Arial" w:cs="Arial"/>
          <w:lang w:val="es-ES"/>
        </w:rPr>
        <w:t>De León, Kristicevic y Obando, ob cit. P. 22</w:t>
      </w:r>
    </w:p>
  </w:footnote>
  <w:footnote w:id="7">
    <w:p w14:paraId="4A3DDA07" w14:textId="4F185376" w:rsidR="00EA2CAD" w:rsidRPr="00517388" w:rsidRDefault="00EA2CAD" w:rsidP="00517388">
      <w:pPr>
        <w:pStyle w:val="Textonotapie"/>
        <w:jc w:val="both"/>
        <w:rPr>
          <w:rFonts w:ascii="Arial" w:hAnsi="Arial" w:cs="Arial"/>
          <w:lang w:val="es-ES"/>
        </w:rPr>
      </w:pPr>
      <w:r w:rsidRPr="00517388">
        <w:rPr>
          <w:rStyle w:val="Refdenotaalpie"/>
          <w:rFonts w:ascii="Arial" w:hAnsi="Arial" w:cs="Arial"/>
        </w:rPr>
        <w:footnoteRef/>
      </w:r>
      <w:r w:rsidRPr="00517388">
        <w:rPr>
          <w:rFonts w:ascii="Arial" w:hAnsi="Arial" w:cs="Arial"/>
        </w:rPr>
        <w:t xml:space="preserve"> De León, Kristicevic y Obando, ob cit. P. 25 - 26</w:t>
      </w:r>
    </w:p>
  </w:footnote>
  <w:footnote w:id="8">
    <w:p w14:paraId="2658235C" w14:textId="1525FCFA" w:rsidR="00EA2CAD" w:rsidRPr="00517388" w:rsidRDefault="00EA2CAD" w:rsidP="00517388">
      <w:pPr>
        <w:pStyle w:val="Textonotapie"/>
        <w:jc w:val="both"/>
        <w:rPr>
          <w:rFonts w:ascii="Arial" w:hAnsi="Arial" w:cs="Arial"/>
          <w:lang w:val="es-ES"/>
        </w:rPr>
      </w:pPr>
      <w:r w:rsidRPr="00517388">
        <w:rPr>
          <w:rStyle w:val="Refdenotaalpie"/>
          <w:rFonts w:ascii="Arial" w:hAnsi="Arial" w:cs="Arial"/>
        </w:rPr>
        <w:footnoteRef/>
      </w:r>
      <w:r w:rsidRPr="00517388">
        <w:rPr>
          <w:rFonts w:ascii="Arial" w:hAnsi="Arial" w:cs="Arial"/>
        </w:rPr>
        <w:t xml:space="preserve"> </w:t>
      </w:r>
      <w:r w:rsidRPr="00517388">
        <w:rPr>
          <w:rFonts w:ascii="Arial" w:hAnsi="Arial" w:cs="Arial"/>
          <w:lang w:val="es-ES"/>
        </w:rPr>
        <w:t>García Elorría, ob cit.</w:t>
      </w:r>
    </w:p>
  </w:footnote>
  <w:footnote w:id="9">
    <w:p w14:paraId="4A0315AB" w14:textId="61DF0B7E" w:rsidR="00EA2CAD" w:rsidRPr="00517388" w:rsidRDefault="00EA2CAD" w:rsidP="00517388">
      <w:pPr>
        <w:pStyle w:val="Textonotapie"/>
        <w:jc w:val="both"/>
        <w:rPr>
          <w:rFonts w:ascii="Arial" w:hAnsi="Arial" w:cs="Arial"/>
          <w:lang w:val="es-ES"/>
        </w:rPr>
      </w:pPr>
      <w:r w:rsidRPr="00517388">
        <w:rPr>
          <w:rStyle w:val="Refdenotaalpie"/>
          <w:rFonts w:ascii="Arial" w:hAnsi="Arial" w:cs="Arial"/>
        </w:rPr>
        <w:footnoteRef/>
      </w:r>
      <w:r w:rsidRPr="00517388">
        <w:rPr>
          <w:rFonts w:ascii="Arial" w:hAnsi="Arial" w:cs="Arial"/>
        </w:rPr>
        <w:t xml:space="preserve"> </w:t>
      </w:r>
      <w:r w:rsidRPr="00517388">
        <w:rPr>
          <w:rFonts w:ascii="Arial" w:hAnsi="Arial" w:cs="Arial"/>
          <w:lang w:val="es-ES"/>
        </w:rPr>
        <w:t>De León y otros, p. 32 - 33</w:t>
      </w:r>
    </w:p>
  </w:footnote>
  <w:footnote w:id="10">
    <w:p w14:paraId="7EEF5D10" w14:textId="46E98859" w:rsidR="00EA2CAD" w:rsidRPr="00517388" w:rsidRDefault="00EA2CAD" w:rsidP="00517388">
      <w:pPr>
        <w:jc w:val="both"/>
        <w:rPr>
          <w:rFonts w:ascii="Arial" w:hAnsi="Arial" w:cs="Arial"/>
          <w:sz w:val="20"/>
          <w:szCs w:val="20"/>
        </w:rPr>
      </w:pPr>
      <w:r w:rsidRPr="00517388">
        <w:rPr>
          <w:rStyle w:val="Refdenotaalpie"/>
          <w:rFonts w:ascii="Arial" w:hAnsi="Arial" w:cs="Arial"/>
          <w:sz w:val="20"/>
          <w:szCs w:val="20"/>
        </w:rPr>
        <w:footnoteRef/>
      </w:r>
      <w:r w:rsidRPr="00517388">
        <w:rPr>
          <w:rFonts w:ascii="Arial" w:hAnsi="Arial" w:cs="Arial"/>
          <w:sz w:val="20"/>
          <w:szCs w:val="20"/>
        </w:rPr>
        <w:t xml:space="preserve"> Entre los elementos básicos de la debida diligencia en la investigación de violaciones graves a los DDHH se indican que debe estar destinada a: localizar a la víctima o sus restos en caso de no conocerse su paradero; establecer la identidad de la/s víctima/s en caso de ejecución extrajudicial; sancionar a todas las personas responsables de las violaciones; abarcar la totalidad de los hechos violatorios a los derechos humanos; ejecutar las órdenes de captura y las decisiones judiciales: utilizar todos los medios a su alcance para la obtención de pruebas; contar con el apoyo de expertos para dar con la verdad de los hechos; tener en cuenta el contexto y las peculiaridades de la situación o del tipo de violación que se está investigando; considerar diversas hipótesis, contar con una metodología para evacuarla y ser consistente, etc. De León y otros, cit. P. 49</w:t>
      </w:r>
    </w:p>
    <w:p w14:paraId="049B44A9" w14:textId="16D3DC23" w:rsidR="00EA2CAD" w:rsidRPr="00517388" w:rsidRDefault="00EA2CAD" w:rsidP="00517388">
      <w:pPr>
        <w:pStyle w:val="Textonotapie"/>
        <w:jc w:val="both"/>
        <w:rPr>
          <w:rFonts w:ascii="Arial" w:hAnsi="Arial" w:cs="Arial"/>
          <w:lang w:val="es-ES"/>
        </w:rPr>
      </w:pPr>
    </w:p>
  </w:footnote>
  <w:footnote w:id="11">
    <w:p w14:paraId="2F2F3244" w14:textId="35243039" w:rsidR="00EA2CAD" w:rsidRPr="00517388" w:rsidRDefault="00EA2CAD" w:rsidP="00517388">
      <w:pPr>
        <w:jc w:val="both"/>
        <w:rPr>
          <w:rFonts w:ascii="Arial" w:hAnsi="Arial" w:cs="Arial"/>
          <w:sz w:val="20"/>
          <w:szCs w:val="20"/>
        </w:rPr>
      </w:pPr>
      <w:r w:rsidRPr="00517388">
        <w:rPr>
          <w:rStyle w:val="Refdenotaalpie"/>
          <w:rFonts w:ascii="Arial" w:hAnsi="Arial" w:cs="Arial"/>
          <w:sz w:val="20"/>
          <w:szCs w:val="20"/>
        </w:rPr>
        <w:footnoteRef/>
      </w:r>
      <w:r w:rsidRPr="00517388">
        <w:rPr>
          <w:rFonts w:ascii="Arial" w:hAnsi="Arial" w:cs="Arial"/>
          <w:sz w:val="20"/>
          <w:szCs w:val="20"/>
        </w:rPr>
        <w:t xml:space="preserve"> </w:t>
      </w:r>
      <w:r w:rsidRPr="00517388">
        <w:rPr>
          <w:rFonts w:ascii="Arial" w:hAnsi="Arial" w:cs="Arial"/>
          <w:sz w:val="20"/>
          <w:szCs w:val="20"/>
          <w:lang w:val="es-ES"/>
        </w:rPr>
        <w:t>García Muñoz, Soledad. Informe sobre empresas y Derechos Humanos: estándares interamericanos.</w:t>
      </w:r>
      <w:r w:rsidRPr="00517388">
        <w:rPr>
          <w:rFonts w:ascii="Arial" w:hAnsi="Arial" w:cs="Arial"/>
          <w:sz w:val="20"/>
          <w:szCs w:val="20"/>
        </w:rPr>
        <w:t xml:space="preserve"> Relatora Especial sobre DESC y ambientales, nov. 2019.</w:t>
      </w:r>
    </w:p>
    <w:p w14:paraId="5D28F992" w14:textId="35E35A36" w:rsidR="00EA2CAD" w:rsidRPr="00517388" w:rsidRDefault="00EA2CAD" w:rsidP="00517388">
      <w:pPr>
        <w:pStyle w:val="Textonotapie"/>
        <w:jc w:val="both"/>
        <w:rPr>
          <w:rFonts w:ascii="Arial" w:hAnsi="Arial" w:cs="Arial"/>
          <w:lang w:val="es-ES"/>
        </w:rPr>
      </w:pPr>
    </w:p>
  </w:footnote>
  <w:footnote w:id="12">
    <w:p w14:paraId="6D088690" w14:textId="6295BF4F" w:rsidR="00EA2CAD" w:rsidRPr="00517388" w:rsidRDefault="00EA2CAD" w:rsidP="00517388">
      <w:pPr>
        <w:pStyle w:val="Textonotapie"/>
        <w:jc w:val="both"/>
        <w:rPr>
          <w:rFonts w:ascii="Arial" w:hAnsi="Arial" w:cs="Arial"/>
          <w:lang w:val="es-ES"/>
        </w:rPr>
      </w:pPr>
      <w:r w:rsidRPr="00517388">
        <w:rPr>
          <w:rStyle w:val="Refdenotaalpie"/>
          <w:rFonts w:ascii="Arial" w:hAnsi="Arial" w:cs="Arial"/>
        </w:rPr>
        <w:footnoteRef/>
      </w:r>
      <w:r w:rsidRPr="00517388">
        <w:rPr>
          <w:rFonts w:ascii="Arial" w:hAnsi="Arial" w:cs="Arial"/>
        </w:rPr>
        <w:t xml:space="preserve"> </w:t>
      </w:r>
      <w:r w:rsidRPr="00517388">
        <w:rPr>
          <w:rFonts w:ascii="Arial" w:hAnsi="Arial" w:cs="Arial"/>
          <w:lang w:val="es-ES"/>
        </w:rPr>
        <w:t>Guamán. Adoración. “</w:t>
      </w:r>
      <w:r w:rsidRPr="00517388">
        <w:rPr>
          <w:rFonts w:ascii="Arial" w:hAnsi="Arial" w:cs="Arial"/>
          <w:i/>
          <w:lang w:val="es-ES"/>
        </w:rPr>
        <w:t>Diligencia debida en derechos humanos y empresas transnacionales: de la ley francesa a un instrumento internacional jurídicamente vinculante sobre empresas y derechos humanos”</w:t>
      </w:r>
      <w:r w:rsidRPr="00517388">
        <w:rPr>
          <w:rFonts w:ascii="Arial" w:hAnsi="Arial" w:cs="Arial"/>
          <w:lang w:val="es-ES"/>
        </w:rPr>
        <w:t>, en Revista Jurídica de los Derechos Sociales, vol. 8, núm. 2, 2018, p. 237</w:t>
      </w:r>
    </w:p>
  </w:footnote>
  <w:footnote w:id="13">
    <w:p w14:paraId="6299619A" w14:textId="6D522F5D" w:rsidR="00EA2CAD" w:rsidRPr="00517388" w:rsidRDefault="00EA2CAD" w:rsidP="00517388">
      <w:pPr>
        <w:pStyle w:val="Textonotapie"/>
        <w:jc w:val="both"/>
        <w:rPr>
          <w:rFonts w:ascii="Arial" w:hAnsi="Arial" w:cs="Arial"/>
          <w:lang w:val="es-ES"/>
        </w:rPr>
      </w:pPr>
      <w:r w:rsidRPr="00517388">
        <w:rPr>
          <w:rStyle w:val="Refdenotaalpie"/>
          <w:rFonts w:ascii="Arial" w:hAnsi="Arial" w:cs="Arial"/>
        </w:rPr>
        <w:footnoteRef/>
      </w:r>
      <w:r w:rsidRPr="00517388">
        <w:rPr>
          <w:rFonts w:ascii="Arial" w:hAnsi="Arial" w:cs="Arial"/>
        </w:rPr>
        <w:t xml:space="preserve"> </w:t>
      </w:r>
      <w:r w:rsidRPr="00517388">
        <w:rPr>
          <w:rFonts w:ascii="Arial" w:hAnsi="Arial" w:cs="Arial"/>
          <w:lang w:val="es-ES"/>
        </w:rPr>
        <w:t>Guamán. Adoración, ob. cit.</w:t>
      </w:r>
    </w:p>
  </w:footnote>
  <w:footnote w:id="14">
    <w:p w14:paraId="028CD96A" w14:textId="70FF0281" w:rsidR="00EA2CAD" w:rsidRPr="00517388" w:rsidRDefault="00EA2CAD" w:rsidP="00517388">
      <w:pPr>
        <w:pStyle w:val="Textonotapie"/>
        <w:jc w:val="both"/>
        <w:rPr>
          <w:rFonts w:ascii="Arial" w:hAnsi="Arial" w:cs="Arial"/>
          <w:lang w:val="es-ES"/>
        </w:rPr>
      </w:pPr>
      <w:r w:rsidRPr="00517388">
        <w:rPr>
          <w:rStyle w:val="Refdenotaalpie"/>
          <w:rFonts w:ascii="Arial" w:hAnsi="Arial" w:cs="Arial"/>
        </w:rPr>
        <w:footnoteRef/>
      </w:r>
      <w:r w:rsidRPr="00517388">
        <w:rPr>
          <w:rFonts w:ascii="Arial" w:hAnsi="Arial" w:cs="Arial"/>
        </w:rPr>
        <w:t xml:space="preserve"> </w:t>
      </w:r>
      <w:r w:rsidRPr="00517388">
        <w:rPr>
          <w:rFonts w:ascii="Arial" w:hAnsi="Arial" w:cs="Arial"/>
          <w:lang w:val="es-ES"/>
        </w:rPr>
        <w:t>Guamán, Adoración, ob cit.</w:t>
      </w:r>
    </w:p>
  </w:footnote>
  <w:footnote w:id="15">
    <w:p w14:paraId="38363B05" w14:textId="77777777" w:rsidR="00EA2CAD" w:rsidRPr="00517388" w:rsidRDefault="00EA2CAD" w:rsidP="00517388">
      <w:pPr>
        <w:autoSpaceDE w:val="0"/>
        <w:autoSpaceDN w:val="0"/>
        <w:adjustRightInd w:val="0"/>
        <w:spacing w:after="0" w:line="240" w:lineRule="auto"/>
        <w:jc w:val="both"/>
        <w:rPr>
          <w:rFonts w:ascii="Arial" w:hAnsi="Arial" w:cs="Arial"/>
          <w:sz w:val="20"/>
          <w:szCs w:val="20"/>
        </w:rPr>
      </w:pPr>
      <w:r w:rsidRPr="00517388">
        <w:rPr>
          <w:rStyle w:val="Refdenotaalpie"/>
          <w:rFonts w:ascii="Arial" w:hAnsi="Arial" w:cs="Arial"/>
          <w:sz w:val="20"/>
          <w:szCs w:val="20"/>
        </w:rPr>
        <w:footnoteRef/>
      </w:r>
      <w:r w:rsidRPr="00517388">
        <w:rPr>
          <w:rFonts w:ascii="Arial" w:hAnsi="Arial" w:cs="Arial"/>
          <w:sz w:val="20"/>
          <w:szCs w:val="20"/>
        </w:rPr>
        <w:t xml:space="preserve"> Dicen los referidos numerales:</w:t>
      </w:r>
    </w:p>
    <w:p w14:paraId="13830403" w14:textId="77777777" w:rsidR="00EA2CAD" w:rsidRPr="00517388" w:rsidRDefault="00EA2CAD" w:rsidP="00517388">
      <w:pPr>
        <w:autoSpaceDE w:val="0"/>
        <w:autoSpaceDN w:val="0"/>
        <w:adjustRightInd w:val="0"/>
        <w:spacing w:after="0" w:line="240" w:lineRule="auto"/>
        <w:jc w:val="both"/>
        <w:rPr>
          <w:rFonts w:ascii="Arial" w:hAnsi="Arial" w:cs="Arial"/>
          <w:sz w:val="20"/>
          <w:szCs w:val="20"/>
        </w:rPr>
      </w:pPr>
      <w:r w:rsidRPr="00517388">
        <w:rPr>
          <w:rFonts w:ascii="Arial" w:hAnsi="Arial" w:cs="Arial"/>
          <w:sz w:val="20"/>
          <w:szCs w:val="20"/>
        </w:rPr>
        <w:t>“11. Evitar que las actividades propias tengan o contribuyan a crear efectos negativos en los campos contemplados por las Directrices y tomar las medidas que se impongan cuando se produzcan dichos efectos.</w:t>
      </w:r>
    </w:p>
    <w:p w14:paraId="243DAEB9" w14:textId="77777777" w:rsidR="00EA2CAD" w:rsidRPr="00517388" w:rsidRDefault="00EA2CAD" w:rsidP="00517388">
      <w:pPr>
        <w:autoSpaceDE w:val="0"/>
        <w:autoSpaceDN w:val="0"/>
        <w:adjustRightInd w:val="0"/>
        <w:spacing w:after="0" w:line="240" w:lineRule="auto"/>
        <w:jc w:val="both"/>
        <w:rPr>
          <w:rFonts w:ascii="Arial" w:hAnsi="Arial" w:cs="Arial"/>
          <w:sz w:val="20"/>
          <w:szCs w:val="20"/>
        </w:rPr>
      </w:pPr>
      <w:r w:rsidRPr="00517388">
        <w:rPr>
          <w:rFonts w:ascii="Arial" w:hAnsi="Arial" w:cs="Arial"/>
          <w:sz w:val="20"/>
          <w:szCs w:val="20"/>
        </w:rPr>
        <w:t>12. Esforzarse por impedir o atenuar los efectos negativos cuando no habiendo</w:t>
      </w:r>
    </w:p>
    <w:p w14:paraId="6D64BB8E" w14:textId="77777777" w:rsidR="00EA2CAD" w:rsidRPr="00517388" w:rsidRDefault="00EA2CAD" w:rsidP="00517388">
      <w:pPr>
        <w:autoSpaceDE w:val="0"/>
        <w:autoSpaceDN w:val="0"/>
        <w:adjustRightInd w:val="0"/>
        <w:spacing w:after="0" w:line="240" w:lineRule="auto"/>
        <w:jc w:val="both"/>
        <w:rPr>
          <w:rFonts w:ascii="Arial" w:hAnsi="Arial" w:cs="Arial"/>
          <w:sz w:val="20"/>
          <w:szCs w:val="20"/>
        </w:rPr>
      </w:pPr>
      <w:r w:rsidRPr="00517388">
        <w:rPr>
          <w:rFonts w:ascii="Arial" w:hAnsi="Arial" w:cs="Arial"/>
          <w:sz w:val="20"/>
          <w:szCs w:val="20"/>
        </w:rPr>
        <w:t>contribuido a los mismos estén directamente relacionados con sus actividades,</w:t>
      </w:r>
    </w:p>
    <w:p w14:paraId="4C7C3A4F" w14:textId="77777777" w:rsidR="00EA2CAD" w:rsidRPr="00517388" w:rsidRDefault="00EA2CAD" w:rsidP="00517388">
      <w:pPr>
        <w:autoSpaceDE w:val="0"/>
        <w:autoSpaceDN w:val="0"/>
        <w:adjustRightInd w:val="0"/>
        <w:spacing w:after="0" w:line="240" w:lineRule="auto"/>
        <w:jc w:val="both"/>
        <w:rPr>
          <w:rFonts w:ascii="Arial" w:hAnsi="Arial" w:cs="Arial"/>
          <w:sz w:val="20"/>
          <w:szCs w:val="20"/>
        </w:rPr>
      </w:pPr>
      <w:r w:rsidRPr="00517388">
        <w:rPr>
          <w:rFonts w:ascii="Arial" w:hAnsi="Arial" w:cs="Arial"/>
          <w:sz w:val="20"/>
          <w:szCs w:val="20"/>
        </w:rPr>
        <w:t>productos o servicios en virtud de una relación comercial. Esto no ha de interpretarse como una transferencia de la responsabilidad de la entidad por causa de un efecto negativo sobre la empresa con la que mantiene una relación comercial”</w:t>
      </w:r>
    </w:p>
    <w:p w14:paraId="54D5CF20" w14:textId="77777777" w:rsidR="00EA2CAD" w:rsidRPr="00517388" w:rsidRDefault="00EA2CAD" w:rsidP="00517388">
      <w:pPr>
        <w:pStyle w:val="Textonotapie"/>
        <w:jc w:val="both"/>
        <w:rPr>
          <w:rFonts w:ascii="Arial" w:hAnsi="Arial" w:cs="Arial"/>
        </w:rPr>
      </w:pPr>
    </w:p>
  </w:footnote>
  <w:footnote w:id="16">
    <w:p w14:paraId="2977E414" w14:textId="7DBE536D" w:rsidR="00EA2CAD" w:rsidRPr="00517388" w:rsidRDefault="00EA2CAD" w:rsidP="00517388">
      <w:pPr>
        <w:pStyle w:val="Textonotapie"/>
        <w:jc w:val="both"/>
        <w:rPr>
          <w:rFonts w:ascii="Arial" w:hAnsi="Arial" w:cs="Arial"/>
        </w:rPr>
      </w:pPr>
      <w:r w:rsidRPr="00517388">
        <w:rPr>
          <w:rStyle w:val="Refdenotaalpie"/>
          <w:rFonts w:ascii="Arial" w:hAnsi="Arial" w:cs="Arial"/>
        </w:rPr>
        <w:footnoteRef/>
      </w:r>
      <w:r>
        <w:rPr>
          <w:rFonts w:ascii="Arial" w:hAnsi="Arial" w:cs="Arial"/>
        </w:rPr>
        <w:t xml:space="preserve"> Nú</w:t>
      </w:r>
      <w:r w:rsidRPr="00517388">
        <w:rPr>
          <w:rFonts w:ascii="Arial" w:hAnsi="Arial" w:cs="Arial"/>
        </w:rPr>
        <w:t>m</w:t>
      </w:r>
      <w:r>
        <w:rPr>
          <w:rFonts w:ascii="Arial" w:hAnsi="Arial" w:cs="Arial"/>
        </w:rPr>
        <w:t>. 14 de los Comentarios a las Lí</w:t>
      </w:r>
      <w:r w:rsidRPr="00517388">
        <w:rPr>
          <w:rFonts w:ascii="Arial" w:hAnsi="Arial" w:cs="Arial"/>
        </w:rPr>
        <w:t>neas Directrices de OCDE para Empresas Multinacionales</w:t>
      </w:r>
    </w:p>
  </w:footnote>
  <w:footnote w:id="17">
    <w:p w14:paraId="7775AADB" w14:textId="3DC4909D" w:rsidR="00EA2CAD" w:rsidRPr="00517388" w:rsidRDefault="00EA2CAD" w:rsidP="00517388">
      <w:pPr>
        <w:pStyle w:val="Textonotapie"/>
        <w:jc w:val="both"/>
        <w:rPr>
          <w:rFonts w:ascii="Arial" w:hAnsi="Arial" w:cs="Arial"/>
        </w:rPr>
      </w:pPr>
      <w:r w:rsidRPr="00517388">
        <w:rPr>
          <w:rStyle w:val="Refdenotaalpie"/>
          <w:rFonts w:ascii="Arial" w:hAnsi="Arial" w:cs="Arial"/>
        </w:rPr>
        <w:footnoteRef/>
      </w:r>
      <w:r>
        <w:rPr>
          <w:rFonts w:ascii="Arial" w:hAnsi="Arial" w:cs="Arial"/>
        </w:rPr>
        <w:t xml:space="preserve"> Nú</w:t>
      </w:r>
      <w:r w:rsidRPr="00517388">
        <w:rPr>
          <w:rFonts w:ascii="Arial" w:hAnsi="Arial" w:cs="Arial"/>
        </w:rPr>
        <w:t>m. 15 de los Comentarios cit.</w:t>
      </w:r>
    </w:p>
  </w:footnote>
  <w:footnote w:id="18">
    <w:p w14:paraId="78287A5B" w14:textId="1F47B0D1" w:rsidR="00EA2CAD" w:rsidRPr="00517388" w:rsidRDefault="00EA2CAD" w:rsidP="00517388">
      <w:pPr>
        <w:pStyle w:val="Textonotapie"/>
        <w:jc w:val="both"/>
        <w:rPr>
          <w:rFonts w:ascii="Arial" w:hAnsi="Arial" w:cs="Arial"/>
        </w:rPr>
      </w:pPr>
      <w:r w:rsidRPr="00517388">
        <w:rPr>
          <w:rStyle w:val="Refdenotaalpie"/>
          <w:rFonts w:ascii="Arial" w:hAnsi="Arial" w:cs="Arial"/>
        </w:rPr>
        <w:footnoteRef/>
      </w:r>
      <w:r>
        <w:rPr>
          <w:rFonts w:ascii="Arial" w:hAnsi="Arial" w:cs="Arial"/>
        </w:rPr>
        <w:t xml:space="preserve"> Nú</w:t>
      </w:r>
      <w:r w:rsidRPr="00517388">
        <w:rPr>
          <w:rFonts w:ascii="Arial" w:hAnsi="Arial" w:cs="Arial"/>
        </w:rPr>
        <w:t>m. 37 de los Comentarios cit.</w:t>
      </w:r>
    </w:p>
  </w:footnote>
  <w:footnote w:id="19">
    <w:p w14:paraId="56E7796F" w14:textId="38CFB206" w:rsidR="00EA2CAD" w:rsidRPr="00517388" w:rsidRDefault="00EA2CAD" w:rsidP="00517388">
      <w:pPr>
        <w:pStyle w:val="Textonotapie"/>
        <w:jc w:val="both"/>
        <w:rPr>
          <w:rFonts w:ascii="Arial" w:hAnsi="Arial" w:cs="Arial"/>
          <w:lang w:val="es-ES"/>
        </w:rPr>
      </w:pPr>
      <w:r w:rsidRPr="00517388">
        <w:rPr>
          <w:rStyle w:val="Refdenotaalpie"/>
          <w:rFonts w:ascii="Arial" w:hAnsi="Arial" w:cs="Arial"/>
        </w:rPr>
        <w:footnoteRef/>
      </w:r>
      <w:r w:rsidRPr="00517388">
        <w:rPr>
          <w:rFonts w:ascii="Arial" w:hAnsi="Arial" w:cs="Arial"/>
        </w:rPr>
        <w:t xml:space="preserve"> </w:t>
      </w:r>
      <w:r w:rsidRPr="00517388">
        <w:rPr>
          <w:rFonts w:ascii="Arial" w:hAnsi="Arial" w:cs="Arial"/>
          <w:lang w:val="es-ES"/>
        </w:rPr>
        <w:t>Bilchitz, David. “</w:t>
      </w:r>
      <w:r w:rsidRPr="00517388">
        <w:rPr>
          <w:rFonts w:ascii="Arial" w:hAnsi="Arial" w:cs="Arial"/>
          <w:i/>
          <w:lang w:val="es-ES"/>
        </w:rPr>
        <w:t xml:space="preserve">El marco Ruggie: ¿una propuesta adecuada para las obligaciones de Derechos Humanos de las empresas?” </w:t>
      </w:r>
      <w:r w:rsidRPr="00517388">
        <w:rPr>
          <w:rFonts w:ascii="Arial" w:hAnsi="Arial" w:cs="Arial"/>
          <w:lang w:val="es-ES"/>
        </w:rPr>
        <w:t>SUR. Revista Internacional de Derechos Humanos, vol 7, num. 12, 2010, p. 209</w:t>
      </w:r>
    </w:p>
  </w:footnote>
  <w:footnote w:id="20">
    <w:p w14:paraId="4A3E1F6C" w14:textId="57F2FFE2" w:rsidR="00EA2CAD" w:rsidRPr="00517388" w:rsidRDefault="00EA2CAD" w:rsidP="00517388">
      <w:pPr>
        <w:pStyle w:val="Textonotapie"/>
        <w:jc w:val="both"/>
        <w:rPr>
          <w:rFonts w:ascii="Arial" w:hAnsi="Arial" w:cs="Arial"/>
          <w:lang w:val="es-ES"/>
        </w:rPr>
      </w:pPr>
      <w:r w:rsidRPr="00517388">
        <w:rPr>
          <w:rStyle w:val="Refdenotaalpie"/>
          <w:rFonts w:ascii="Arial" w:hAnsi="Arial" w:cs="Arial"/>
        </w:rPr>
        <w:footnoteRef/>
      </w:r>
      <w:r w:rsidRPr="00517388">
        <w:rPr>
          <w:rFonts w:ascii="Arial" w:hAnsi="Arial" w:cs="Arial"/>
        </w:rPr>
        <w:t xml:space="preserve"> </w:t>
      </w:r>
      <w:r w:rsidRPr="00517388">
        <w:rPr>
          <w:rFonts w:ascii="Arial" w:hAnsi="Arial" w:cs="Arial"/>
          <w:lang w:val="es-ES"/>
        </w:rPr>
        <w:t>Bilchtz, David, ob cit. p. 214 y ss</w:t>
      </w:r>
    </w:p>
  </w:footnote>
  <w:footnote w:id="21">
    <w:p w14:paraId="00EB8D03"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r w:rsidRPr="00517388">
        <w:rPr>
          <w:rStyle w:val="Refdenotaalpie"/>
          <w:rFonts w:ascii="Arial" w:hAnsi="Arial" w:cs="Arial"/>
          <w:sz w:val="20"/>
          <w:szCs w:val="20"/>
        </w:rPr>
        <w:footnoteRef/>
      </w:r>
      <w:r w:rsidRPr="00517388">
        <w:rPr>
          <w:rFonts w:ascii="Arial" w:hAnsi="Arial" w:cs="Arial"/>
          <w:sz w:val="20"/>
          <w:szCs w:val="20"/>
        </w:rPr>
        <w:t xml:space="preserve"> </w:t>
      </w:r>
      <w:r w:rsidRPr="00517388">
        <w:rPr>
          <w:rFonts w:ascii="Arial" w:hAnsi="Arial" w:cs="Arial"/>
          <w:color w:val="000000"/>
          <w:sz w:val="20"/>
          <w:szCs w:val="20"/>
        </w:rPr>
        <w:t>Art. 6.2 A los efectos del presente artículo 6.1, los Estados parte deberán exigir que las empresas comerciales realicen una diligencia debida en materia de derechos humanos proporcional a su tamaño, el riesgo de provocar efectos graves sobre los derechos humanos, y la naturaleza y el contexto de sus operaciones, de la siguiente manera:</w:t>
      </w:r>
    </w:p>
    <w:p w14:paraId="678D5A3E"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p>
    <w:p w14:paraId="34CBF888"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r w:rsidRPr="00517388">
        <w:rPr>
          <w:rFonts w:ascii="Arial" w:hAnsi="Arial" w:cs="Arial"/>
          <w:color w:val="000000"/>
          <w:sz w:val="20"/>
          <w:szCs w:val="20"/>
        </w:rPr>
        <w:t xml:space="preserve">a. Identificar y evaluar todo abuso real o potencial de los derechos humanos que pueda surgir de sus propias actividades comerciales o de sus relaciones comerciales; </w:t>
      </w:r>
    </w:p>
    <w:p w14:paraId="100A4FF4"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r w:rsidRPr="00517388">
        <w:rPr>
          <w:rFonts w:ascii="Arial" w:hAnsi="Arial" w:cs="Arial"/>
          <w:color w:val="000000"/>
          <w:sz w:val="20"/>
          <w:szCs w:val="20"/>
        </w:rPr>
        <w:t>b. Tomar medidas apropiadas para prevenir y mitigar de manera efectiva los abusos de los derechos humanos reales o potenciales identificados, incluyendo en sus relaciones comerciales;</w:t>
      </w:r>
    </w:p>
    <w:p w14:paraId="76A9EF3F"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r w:rsidRPr="00517388">
        <w:rPr>
          <w:rFonts w:ascii="Arial" w:hAnsi="Arial" w:cs="Arial"/>
          <w:color w:val="000000"/>
          <w:sz w:val="20"/>
          <w:szCs w:val="20"/>
        </w:rPr>
        <w:t>c. Monitorear la efectividad de sus medidas destinadas a prevenir y mitigar los abusos de los derechos humanos, incluyendo sus relaciones comerciales;</w:t>
      </w:r>
    </w:p>
    <w:p w14:paraId="704C3926"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r w:rsidRPr="00517388">
        <w:rPr>
          <w:rFonts w:ascii="Arial" w:hAnsi="Arial" w:cs="Arial"/>
          <w:color w:val="000000"/>
          <w:sz w:val="20"/>
          <w:szCs w:val="20"/>
        </w:rPr>
        <w:t>d. Comunicarse en forma periódica y de manera accesible con las partes interesadas, en particular con las personas afectadas o potencialmente afectadas, a fin de informarles acerca de cómo abordan por medio de sus políticas y medidas cualquier abuso de los derechos humanos real o potencial que pueda surgir de sus actividades, incluyendo en sus relaciones comerciales.</w:t>
      </w:r>
    </w:p>
    <w:p w14:paraId="37394AFC"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r w:rsidRPr="00517388">
        <w:rPr>
          <w:rFonts w:ascii="Arial" w:hAnsi="Arial" w:cs="Arial"/>
          <w:color w:val="000000"/>
          <w:sz w:val="20"/>
          <w:szCs w:val="20"/>
        </w:rPr>
        <w:t>3. Los Estados parte deberán asegurar que todas las medidas de diligencia debida en materia de derechos humanos adoptada por empresas comerciales bajo el artículo 6.2 incluya:</w:t>
      </w:r>
    </w:p>
    <w:p w14:paraId="2BFE79D8"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r w:rsidRPr="00517388">
        <w:rPr>
          <w:rFonts w:ascii="Arial" w:hAnsi="Arial" w:cs="Arial"/>
          <w:color w:val="000000"/>
          <w:sz w:val="20"/>
          <w:szCs w:val="20"/>
        </w:rPr>
        <w:t>a. Realizar evaluaciones periódicas de impacto ambiental y de derechos humanos durante todas sus operaciones;</w:t>
      </w:r>
    </w:p>
    <w:p w14:paraId="5C951435"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r w:rsidRPr="00517388">
        <w:rPr>
          <w:rFonts w:ascii="Arial" w:hAnsi="Arial" w:cs="Arial"/>
          <w:color w:val="000000"/>
          <w:sz w:val="20"/>
          <w:szCs w:val="20"/>
        </w:rPr>
        <w:t>b. Integrar una perspectiva de género, consultando con organizaciones de mujeres y mujeres potencialmente afectadas, a todas las etapas del proceso de diligencia debida en materia de derechos humanos a fin de identificar y abordar</w:t>
      </w:r>
    </w:p>
    <w:p w14:paraId="5E350CB2"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r w:rsidRPr="00517388">
        <w:rPr>
          <w:rFonts w:ascii="Arial" w:hAnsi="Arial" w:cs="Arial"/>
          <w:color w:val="000000"/>
          <w:sz w:val="20"/>
          <w:szCs w:val="20"/>
        </w:rPr>
        <w:t>la experiencia diferenciada de los riesgos y efectos de las mujeres y las niñas;</w:t>
      </w:r>
    </w:p>
    <w:p w14:paraId="3434E188"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r w:rsidRPr="00517388">
        <w:rPr>
          <w:rFonts w:ascii="Arial" w:hAnsi="Arial" w:cs="Arial"/>
          <w:color w:val="000000"/>
          <w:sz w:val="20"/>
          <w:szCs w:val="20"/>
        </w:rPr>
        <w:t>c. Llevar a cabo consultas constructivas con individuos o comunidades cuyos derechos humanos puedan verse afectados por las actividades comerciales y con otras partes interesadas relevantes, prestando especial atención a quienes</w:t>
      </w:r>
    </w:p>
    <w:p w14:paraId="6BBCE237"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r w:rsidRPr="00517388">
        <w:rPr>
          <w:rFonts w:ascii="Arial" w:hAnsi="Arial" w:cs="Arial"/>
          <w:color w:val="000000"/>
          <w:sz w:val="20"/>
          <w:szCs w:val="20"/>
        </w:rPr>
        <w:t>se enfrentan a mayor riesgo de sufrir abusos de los derechos humanos relacionados con empresas, como las mujeres, los niños, las personas con discapacidades, los pueblos indígenas, los migrantes, los refugiados, las personas desplazadas internamente y las poblaciones protegidas bajo áreas ocupadas o de conflicto;</w:t>
      </w:r>
    </w:p>
    <w:p w14:paraId="483F4095"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r w:rsidRPr="00517388">
        <w:rPr>
          <w:rFonts w:ascii="Arial" w:hAnsi="Arial" w:cs="Arial"/>
          <w:color w:val="000000"/>
          <w:sz w:val="20"/>
          <w:szCs w:val="20"/>
        </w:rPr>
        <w:t>d. Asegurar que se realicen consultas con pueblos indígenas conforme a los estándares acordados internacionalmente del consentimiento libre, previo e informado;</w:t>
      </w:r>
    </w:p>
    <w:p w14:paraId="3D9D5D7C"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r w:rsidRPr="00517388">
        <w:rPr>
          <w:rFonts w:ascii="Arial" w:hAnsi="Arial" w:cs="Arial"/>
          <w:color w:val="000000"/>
          <w:sz w:val="20"/>
          <w:szCs w:val="20"/>
        </w:rPr>
        <w:t>e. Informar en forma pública y periódica sobre asuntos no financieros, incluyendo información sobre las estructuras de grupos y proveedores, así como las políticas, riesgos, resultados e indicadores relacionados con los derechos humanos, los derechos laborales y los estándares ambientales en todas sus operaciones, incluyendo en sus relaciones comerciales;</w:t>
      </w:r>
    </w:p>
    <w:p w14:paraId="59183137"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r w:rsidRPr="00517388">
        <w:rPr>
          <w:rFonts w:ascii="Arial" w:hAnsi="Arial" w:cs="Arial"/>
          <w:color w:val="000000"/>
          <w:sz w:val="20"/>
          <w:szCs w:val="20"/>
        </w:rPr>
        <w:t>f. Integrar los requerimientos de la diligencia debida en materia de derechos humanos en contratos referidos a sus relaciones comerciales y disponer el incremento de capacidades o aportes financieros, según corresponda;</w:t>
      </w:r>
    </w:p>
    <w:p w14:paraId="1024FCA6"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r w:rsidRPr="00517388">
        <w:rPr>
          <w:rFonts w:ascii="Arial" w:hAnsi="Arial" w:cs="Arial"/>
          <w:color w:val="000000"/>
          <w:sz w:val="20"/>
          <w:szCs w:val="20"/>
        </w:rPr>
        <w:t>g. Adoptar e implementar medidas ampliadas relacionadas con la diligencia debida en materia de derechos humanos a fin de prevenir abusos de los derechos humanos en áreas ocupadas o afectadas por conflictos, incluyendo situaciones de ocupación.</w:t>
      </w:r>
    </w:p>
    <w:p w14:paraId="75FD34D5"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r w:rsidRPr="00517388">
        <w:rPr>
          <w:rFonts w:ascii="Arial" w:hAnsi="Arial" w:cs="Arial"/>
          <w:color w:val="000000"/>
          <w:sz w:val="20"/>
          <w:szCs w:val="20"/>
        </w:rPr>
        <w:t xml:space="preserve">4. Los Estados parte podrán ofrecer incentivos y adoptar otras medidas para facilitar el cumplimiento de los requisitos emanados de este artículo por parte de empresas comerciales pequeñas y medianas que desarrollen actividades comerciales. </w:t>
      </w:r>
    </w:p>
    <w:p w14:paraId="0DE0C8FE"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r w:rsidRPr="00517388">
        <w:rPr>
          <w:rFonts w:ascii="Arial" w:hAnsi="Arial" w:cs="Arial"/>
          <w:color w:val="000000"/>
          <w:sz w:val="20"/>
          <w:szCs w:val="20"/>
        </w:rPr>
        <w:t>5. Los Estados parte deberán asegurar que existan procedimientos efectivos nacionales para asegurar el cumplimiento de las obligaciones consagradas en este artículo, teniendo en cuenta el efecto potencial sobre los derechos humanos causado por el tamaño, la naturaleza, el sector, la ubicación, el contexto operativo y la gravedad de los riesgos asociados a las actividades comerciales de las empresas comerciales en su territorio o jurisdicción, o bajo su control de otra manera, incluyendo las de carácter transnacional.</w:t>
      </w:r>
    </w:p>
    <w:p w14:paraId="038B6443"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r w:rsidRPr="00517388">
        <w:rPr>
          <w:rFonts w:ascii="Arial" w:hAnsi="Arial" w:cs="Arial"/>
          <w:color w:val="000000"/>
          <w:sz w:val="20"/>
          <w:szCs w:val="20"/>
        </w:rPr>
        <w:t>6. La omisión de cumplir con las obligaciones impuestas en los artículos 6.2 y 6.3 deberá conducir a sanciones proporcionadas, incluyendo acciones correctivas cuando corresponda, sin prejuicio de lo dispuesto respecto de la responsabilidad penal, civil y administrativa en el artículo 8.</w:t>
      </w:r>
    </w:p>
    <w:p w14:paraId="1592035B" w14:textId="77777777" w:rsidR="00EA2CAD" w:rsidRPr="00517388" w:rsidRDefault="00EA2CAD" w:rsidP="00517388">
      <w:pPr>
        <w:autoSpaceDE w:val="0"/>
        <w:autoSpaceDN w:val="0"/>
        <w:adjustRightInd w:val="0"/>
        <w:spacing w:after="0" w:line="240" w:lineRule="auto"/>
        <w:jc w:val="both"/>
        <w:rPr>
          <w:rFonts w:ascii="Arial" w:hAnsi="Arial" w:cs="Arial"/>
          <w:color w:val="000000"/>
          <w:sz w:val="20"/>
          <w:szCs w:val="20"/>
        </w:rPr>
      </w:pPr>
      <w:r w:rsidRPr="00517388">
        <w:rPr>
          <w:rFonts w:ascii="Arial" w:hAnsi="Arial" w:cs="Arial"/>
          <w:color w:val="000000"/>
          <w:sz w:val="20"/>
          <w:szCs w:val="20"/>
        </w:rPr>
        <w:t>7. Al definir e implementar sus políticas públicas referidas a la implementación del presente (Instrumento Legalmente Vinculante), los Estados parte deberán actuar para proteger estas políticas contra la influencia de intereses creados comerciales y de otra índole de empresas comerciales, incluyendo aquellas que llevan a cabo actividades comerciales de carácter transnacional.</w:t>
      </w:r>
    </w:p>
    <w:p w14:paraId="0ABA941C" w14:textId="09F7D7C2" w:rsidR="00EA2CAD" w:rsidRPr="00517388" w:rsidRDefault="00EA2CAD" w:rsidP="00517388">
      <w:pPr>
        <w:pStyle w:val="Textonotapie"/>
        <w:jc w:val="both"/>
        <w:rPr>
          <w:rFonts w:ascii="Arial" w:hAnsi="Arial" w:cs="Arial"/>
          <w:lang w:val="es-ES"/>
        </w:rPr>
      </w:pPr>
    </w:p>
  </w:footnote>
  <w:footnote w:id="22">
    <w:p w14:paraId="5D80E64A" w14:textId="498BCCB2" w:rsidR="00EA2CAD" w:rsidRPr="00517388" w:rsidRDefault="00EA2CAD" w:rsidP="00517388">
      <w:pPr>
        <w:pStyle w:val="Textonotapie"/>
        <w:jc w:val="both"/>
        <w:rPr>
          <w:rFonts w:ascii="Arial" w:hAnsi="Arial" w:cs="Arial"/>
          <w:lang w:val="es-ES"/>
        </w:rPr>
      </w:pPr>
      <w:r w:rsidRPr="00517388">
        <w:rPr>
          <w:rStyle w:val="Refdenotaalpie"/>
          <w:rFonts w:ascii="Arial" w:hAnsi="Arial" w:cs="Arial"/>
        </w:rPr>
        <w:footnoteRef/>
      </w:r>
      <w:r w:rsidRPr="00517388">
        <w:rPr>
          <w:rFonts w:ascii="Arial" w:hAnsi="Arial" w:cs="Arial"/>
        </w:rPr>
        <w:t xml:space="preserve"> </w:t>
      </w:r>
      <w:r w:rsidRPr="00517388">
        <w:rPr>
          <w:rFonts w:ascii="Arial" w:hAnsi="Arial" w:cs="Arial"/>
          <w:lang w:val="es-ES"/>
        </w:rPr>
        <w:t>Guamán, Adoración. Ob cit.</w:t>
      </w:r>
    </w:p>
  </w:footnote>
  <w:footnote w:id="23">
    <w:p w14:paraId="3ADDD198" w14:textId="2737CD11" w:rsidR="00EA2CAD" w:rsidRPr="00517388" w:rsidRDefault="00EA2CAD" w:rsidP="00517388">
      <w:pPr>
        <w:pStyle w:val="Textonotapie"/>
        <w:jc w:val="both"/>
        <w:rPr>
          <w:rFonts w:ascii="Arial" w:hAnsi="Arial" w:cs="Arial"/>
          <w:lang w:val="es-ES"/>
        </w:rPr>
      </w:pPr>
      <w:r w:rsidRPr="00517388">
        <w:rPr>
          <w:rStyle w:val="Refdenotaalpie"/>
          <w:rFonts w:ascii="Arial" w:hAnsi="Arial" w:cs="Arial"/>
        </w:rPr>
        <w:footnoteRef/>
      </w:r>
      <w:r w:rsidRPr="00517388">
        <w:rPr>
          <w:rFonts w:ascii="Arial" w:hAnsi="Arial" w:cs="Arial"/>
        </w:rPr>
        <w:t xml:space="preserve"> </w:t>
      </w:r>
      <w:r w:rsidRPr="00517388">
        <w:rPr>
          <w:rFonts w:ascii="Arial" w:hAnsi="Arial" w:cs="Arial"/>
          <w:lang w:val="es-ES"/>
        </w:rPr>
        <w:t>García Elorria, ob cit.</w:t>
      </w:r>
    </w:p>
  </w:footnote>
  <w:footnote w:id="24">
    <w:p w14:paraId="785CC73A" w14:textId="086E14D6" w:rsidR="00EA2CAD" w:rsidRPr="00517388" w:rsidRDefault="00EA2CAD" w:rsidP="00517388">
      <w:pPr>
        <w:pStyle w:val="Textonotapie"/>
        <w:jc w:val="both"/>
        <w:rPr>
          <w:rFonts w:ascii="Arial" w:hAnsi="Arial" w:cs="Arial"/>
          <w:lang w:val="es-ES"/>
        </w:rPr>
      </w:pPr>
      <w:r w:rsidRPr="00517388">
        <w:rPr>
          <w:rStyle w:val="Refdenotaalpie"/>
          <w:rFonts w:ascii="Arial" w:hAnsi="Arial" w:cs="Arial"/>
        </w:rPr>
        <w:footnoteRef/>
      </w:r>
      <w:r w:rsidRPr="00517388">
        <w:rPr>
          <w:rFonts w:ascii="Arial" w:hAnsi="Arial" w:cs="Arial"/>
        </w:rPr>
        <w:t xml:space="preserve"> </w:t>
      </w:r>
      <w:r w:rsidRPr="00517388">
        <w:rPr>
          <w:rFonts w:ascii="Arial" w:hAnsi="Arial" w:cs="Arial"/>
          <w:lang w:val="es-ES"/>
        </w:rPr>
        <w:t>García Elorría, ob cit p. 283</w:t>
      </w:r>
    </w:p>
  </w:footnote>
  <w:footnote w:id="25">
    <w:p w14:paraId="341ADC29" w14:textId="00141B6A" w:rsidR="00EA2CAD" w:rsidRPr="00517388" w:rsidRDefault="00EA2CAD" w:rsidP="00517388">
      <w:pPr>
        <w:pStyle w:val="Textonotapie"/>
        <w:jc w:val="both"/>
        <w:rPr>
          <w:rFonts w:ascii="Arial" w:hAnsi="Arial" w:cs="Arial"/>
          <w:lang w:val="es-ES"/>
        </w:rPr>
      </w:pPr>
      <w:r w:rsidRPr="00517388">
        <w:rPr>
          <w:rStyle w:val="Refdenotaalpie"/>
          <w:rFonts w:ascii="Arial" w:hAnsi="Arial" w:cs="Arial"/>
        </w:rPr>
        <w:footnoteRef/>
      </w:r>
      <w:r w:rsidRPr="00517388">
        <w:rPr>
          <w:rFonts w:ascii="Arial" w:hAnsi="Arial" w:cs="Arial"/>
        </w:rPr>
        <w:t xml:space="preserve"> </w:t>
      </w:r>
      <w:r w:rsidRPr="00517388">
        <w:rPr>
          <w:rFonts w:ascii="Arial" w:hAnsi="Arial" w:cs="Arial"/>
          <w:lang w:val="es-ES"/>
        </w:rPr>
        <w:t>García Muñoz, ob cit, núm 56 - 57</w:t>
      </w:r>
    </w:p>
  </w:footnote>
  <w:footnote w:id="26">
    <w:p w14:paraId="2C287B41" w14:textId="5DF29386" w:rsidR="00EA2CAD" w:rsidRPr="00517388" w:rsidRDefault="00EA2CAD" w:rsidP="00517388">
      <w:pPr>
        <w:pStyle w:val="Textonotapie"/>
        <w:jc w:val="both"/>
        <w:rPr>
          <w:rFonts w:ascii="Arial" w:hAnsi="Arial" w:cs="Arial"/>
          <w:lang w:val="es-ES"/>
        </w:rPr>
      </w:pPr>
      <w:r w:rsidRPr="00517388">
        <w:rPr>
          <w:rStyle w:val="Refdenotaalpie"/>
          <w:rFonts w:ascii="Arial" w:hAnsi="Arial" w:cs="Arial"/>
        </w:rPr>
        <w:footnoteRef/>
      </w:r>
      <w:r w:rsidRPr="00517388">
        <w:rPr>
          <w:rFonts w:ascii="Arial" w:hAnsi="Arial" w:cs="Arial"/>
        </w:rPr>
        <w:t xml:space="preserve"> </w:t>
      </w:r>
      <w:r w:rsidRPr="00517388">
        <w:rPr>
          <w:rFonts w:ascii="Arial" w:hAnsi="Arial" w:cs="Arial"/>
          <w:lang w:val="es-ES"/>
        </w:rPr>
        <w:t>García Muñoz, ob cit. pár. 132</w:t>
      </w:r>
    </w:p>
  </w:footnote>
  <w:footnote w:id="27">
    <w:p w14:paraId="22F9B7D7" w14:textId="529CA42A" w:rsidR="00EA2CAD" w:rsidRPr="00517388" w:rsidRDefault="00EA2CAD" w:rsidP="00517388">
      <w:pPr>
        <w:pStyle w:val="Textonotapie"/>
        <w:jc w:val="both"/>
        <w:rPr>
          <w:rFonts w:ascii="Arial" w:hAnsi="Arial" w:cs="Arial"/>
          <w:lang w:val="es-ES"/>
        </w:rPr>
      </w:pPr>
      <w:r w:rsidRPr="00517388">
        <w:rPr>
          <w:rStyle w:val="Refdenotaalpie"/>
          <w:rFonts w:ascii="Arial" w:hAnsi="Arial" w:cs="Arial"/>
        </w:rPr>
        <w:footnoteRef/>
      </w:r>
      <w:r w:rsidRPr="00517388">
        <w:rPr>
          <w:rFonts w:ascii="Arial" w:hAnsi="Arial" w:cs="Arial"/>
        </w:rPr>
        <w:t xml:space="preserve"> García Elorrio, ob cit.</w:t>
      </w:r>
    </w:p>
  </w:footnote>
  <w:footnote w:id="28">
    <w:p w14:paraId="634DFA34" w14:textId="1DFDC76A" w:rsidR="00EA2CAD" w:rsidRPr="00517388" w:rsidRDefault="00EA2CAD" w:rsidP="00517388">
      <w:pPr>
        <w:pStyle w:val="Textonotapie"/>
        <w:jc w:val="both"/>
        <w:rPr>
          <w:rFonts w:ascii="Arial" w:hAnsi="Arial" w:cs="Arial"/>
          <w:lang w:val="es-ES"/>
        </w:rPr>
      </w:pPr>
      <w:r w:rsidRPr="00517388">
        <w:rPr>
          <w:rStyle w:val="Refdenotaalpie"/>
          <w:rFonts w:ascii="Arial" w:hAnsi="Arial" w:cs="Arial"/>
        </w:rPr>
        <w:footnoteRef/>
      </w:r>
      <w:r>
        <w:rPr>
          <w:rFonts w:ascii="Arial" w:hAnsi="Arial" w:cs="Arial"/>
        </w:rPr>
        <w:t xml:space="preserve"> Bidart Campos, Germán; Carnota, Walter</w:t>
      </w:r>
      <w:r w:rsidRPr="00517388">
        <w:rPr>
          <w:rFonts w:ascii="Arial" w:hAnsi="Arial" w:cs="Arial"/>
        </w:rPr>
        <w:t>.</w:t>
      </w:r>
      <w:r>
        <w:rPr>
          <w:rFonts w:ascii="Arial" w:hAnsi="Arial" w:cs="Arial"/>
        </w:rPr>
        <w:t xml:space="preserve"> Derecho Constitucional Comparado. T. II. EDIAR, 2000</w:t>
      </w:r>
    </w:p>
  </w:footnote>
  <w:footnote w:id="29">
    <w:p w14:paraId="3FBE26DC" w14:textId="15F1B1A4" w:rsidR="00EA2CAD" w:rsidRPr="00517388" w:rsidRDefault="00EA2CAD" w:rsidP="00517388">
      <w:pPr>
        <w:autoSpaceDE w:val="0"/>
        <w:autoSpaceDN w:val="0"/>
        <w:adjustRightInd w:val="0"/>
        <w:spacing w:after="0" w:line="240" w:lineRule="auto"/>
        <w:jc w:val="both"/>
        <w:rPr>
          <w:rFonts w:ascii="Arial" w:hAnsi="Arial" w:cs="Arial"/>
          <w:sz w:val="20"/>
          <w:szCs w:val="20"/>
        </w:rPr>
      </w:pPr>
      <w:r w:rsidRPr="00517388">
        <w:rPr>
          <w:rStyle w:val="Refdenotaalpie"/>
          <w:rFonts w:ascii="Arial" w:hAnsi="Arial" w:cs="Arial"/>
          <w:sz w:val="20"/>
          <w:szCs w:val="20"/>
        </w:rPr>
        <w:footnoteRef/>
      </w:r>
      <w:r w:rsidRPr="00517388">
        <w:rPr>
          <w:rFonts w:ascii="Arial" w:hAnsi="Arial" w:cs="Arial"/>
          <w:sz w:val="20"/>
          <w:szCs w:val="20"/>
        </w:rPr>
        <w:t xml:space="preserve"> </w:t>
      </w:r>
      <w:r w:rsidRPr="00517388">
        <w:rPr>
          <w:rFonts w:ascii="Arial" w:hAnsi="Arial" w:cs="Arial"/>
          <w:sz w:val="20"/>
          <w:szCs w:val="20"/>
          <w:lang w:val="es-ES"/>
        </w:rPr>
        <w:t>Y agrega: “</w:t>
      </w:r>
      <w:r w:rsidRPr="00517388">
        <w:rPr>
          <w:rFonts w:ascii="Arial" w:hAnsi="Arial" w:cs="Arial"/>
          <w:sz w:val="20"/>
          <w:szCs w:val="20"/>
        </w:rPr>
        <w:t>En relación al primer factor, resulta claro que, en muchas circunstancias, las empresas podrán jugar un papel importante en ayudar a realizar los derechos fundamentales. Esto parece brindar una importante justificación para la asignación de obligaciones a las empresas cuando las intervenciones particulares que podrían tener un gran impacto potencial sobre los derechos fundamentales recaen dentro de su área de especialidad y su capacidad de asistir. El segundo factor que identifica Shue brinda una justificación para la limitación de la función de la empresa en este sentido: se requeriría, por ejemplo, que la carga de las obligaciones positivas se extienda equitativamente entre las empresas y aun así logren sus objetivos económicos. Sin embargo, el segundo factor no ofrece ninguna razón general de principios sobre por qué las empresas no pueden tener obligaciones positivas para la realización de derechos”.</w:t>
      </w:r>
    </w:p>
    <w:p w14:paraId="16CD6E03" w14:textId="6B1137B4" w:rsidR="00EA2CAD" w:rsidRPr="00AA4174" w:rsidRDefault="00EA2CAD">
      <w:pPr>
        <w:pStyle w:val="Textonotapie"/>
        <w:rPr>
          <w:lang w:val="es-ES"/>
        </w:rPr>
      </w:pPr>
    </w:p>
  </w:footnote>
  <w:footnote w:id="30">
    <w:p w14:paraId="3495A894" w14:textId="54DC6DF1" w:rsidR="00EA2CAD" w:rsidRPr="00C13BED" w:rsidRDefault="00EA2CAD">
      <w:pPr>
        <w:pStyle w:val="Textonotapie"/>
        <w:rPr>
          <w:rFonts w:ascii="Arial" w:hAnsi="Arial" w:cs="Arial"/>
        </w:rPr>
      </w:pPr>
      <w:r w:rsidRPr="00C13BED">
        <w:rPr>
          <w:rStyle w:val="Refdenotaalpie"/>
          <w:rFonts w:ascii="Arial" w:hAnsi="Arial" w:cs="Arial"/>
        </w:rPr>
        <w:footnoteRef/>
      </w:r>
      <w:r w:rsidRPr="00C13BED">
        <w:rPr>
          <w:rFonts w:ascii="Arial" w:hAnsi="Arial" w:cs="Arial"/>
        </w:rPr>
        <w:t xml:space="preserve"> Conclusión a la que llega I. Daugareilh en la obra citada, p. 377</w:t>
      </w:r>
    </w:p>
  </w:footnote>
  <w:footnote w:id="31">
    <w:p w14:paraId="3A0DFEC0" w14:textId="5315338C" w:rsidR="00E02B4A" w:rsidRPr="00E02B4A" w:rsidRDefault="00E02B4A">
      <w:pPr>
        <w:pStyle w:val="Textonotapie"/>
        <w:rPr>
          <w:rFonts w:ascii="Arial" w:hAnsi="Arial" w:cs="Arial"/>
        </w:rPr>
      </w:pPr>
      <w:r w:rsidRPr="00E02B4A">
        <w:rPr>
          <w:rStyle w:val="Refdenotaalpie"/>
          <w:rFonts w:ascii="Arial" w:hAnsi="Arial" w:cs="Arial"/>
        </w:rPr>
        <w:footnoteRef/>
      </w:r>
      <w:r w:rsidRPr="00E02B4A">
        <w:rPr>
          <w:rFonts w:ascii="Arial" w:hAnsi="Arial" w:cs="Arial"/>
        </w:rPr>
        <w:t xml:space="preserve"> Plá Rodríguez, Américo. Los Principios del Derecho del Trabajo. Ed. al cuidado de Hugo Barretto Ghione. FCU, 2015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522BE"/>
    <w:multiLevelType w:val="hybridMultilevel"/>
    <w:tmpl w:val="87125730"/>
    <w:lvl w:ilvl="0" w:tplc="1116F11C">
      <w:start w:val="2"/>
      <w:numFmt w:val="bullet"/>
      <w:lvlText w:val="-"/>
      <w:lvlJc w:val="left"/>
      <w:pPr>
        <w:ind w:left="720" w:hanging="360"/>
      </w:pPr>
      <w:rPr>
        <w:rFonts w:ascii="Calibri" w:eastAsiaTheme="minorHAnsi" w:hAnsi="Calibri" w:cs="Calibri" w:hint="default"/>
      </w:rPr>
    </w:lvl>
    <w:lvl w:ilvl="1" w:tplc="380A0003" w:tentative="1">
      <w:start w:val="1"/>
      <w:numFmt w:val="bullet"/>
      <w:lvlText w:val="o"/>
      <w:lvlJc w:val="left"/>
      <w:pPr>
        <w:ind w:left="1440" w:hanging="360"/>
      </w:pPr>
      <w:rPr>
        <w:rFonts w:ascii="Courier New" w:hAnsi="Courier New" w:cs="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cs="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cs="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1" w15:restartNumberingAfterBreak="0">
    <w:nsid w:val="13165793"/>
    <w:multiLevelType w:val="hybridMultilevel"/>
    <w:tmpl w:val="524ECCEA"/>
    <w:lvl w:ilvl="0" w:tplc="380A0017">
      <w:start w:val="1"/>
      <w:numFmt w:val="lowerLetter"/>
      <w:lvlText w:val="%1)"/>
      <w:lvlJc w:val="left"/>
      <w:pPr>
        <w:ind w:left="720" w:hanging="360"/>
      </w:pPr>
      <w:rPr>
        <w:rFonts w:hint="default"/>
      </w:rPr>
    </w:lvl>
    <w:lvl w:ilvl="1" w:tplc="380A0019" w:tentative="1">
      <w:start w:val="1"/>
      <w:numFmt w:val="lowerLetter"/>
      <w:lvlText w:val="%2."/>
      <w:lvlJc w:val="left"/>
      <w:pPr>
        <w:ind w:left="1440" w:hanging="360"/>
      </w:pPr>
    </w:lvl>
    <w:lvl w:ilvl="2" w:tplc="380A001B" w:tentative="1">
      <w:start w:val="1"/>
      <w:numFmt w:val="lowerRoman"/>
      <w:lvlText w:val="%3."/>
      <w:lvlJc w:val="right"/>
      <w:pPr>
        <w:ind w:left="2160" w:hanging="180"/>
      </w:pPr>
    </w:lvl>
    <w:lvl w:ilvl="3" w:tplc="380A000F" w:tentative="1">
      <w:start w:val="1"/>
      <w:numFmt w:val="decimal"/>
      <w:lvlText w:val="%4."/>
      <w:lvlJc w:val="left"/>
      <w:pPr>
        <w:ind w:left="2880" w:hanging="360"/>
      </w:pPr>
    </w:lvl>
    <w:lvl w:ilvl="4" w:tplc="380A0019" w:tentative="1">
      <w:start w:val="1"/>
      <w:numFmt w:val="lowerLetter"/>
      <w:lvlText w:val="%5."/>
      <w:lvlJc w:val="left"/>
      <w:pPr>
        <w:ind w:left="3600" w:hanging="360"/>
      </w:pPr>
    </w:lvl>
    <w:lvl w:ilvl="5" w:tplc="380A001B" w:tentative="1">
      <w:start w:val="1"/>
      <w:numFmt w:val="lowerRoman"/>
      <w:lvlText w:val="%6."/>
      <w:lvlJc w:val="right"/>
      <w:pPr>
        <w:ind w:left="4320" w:hanging="180"/>
      </w:pPr>
    </w:lvl>
    <w:lvl w:ilvl="6" w:tplc="380A000F" w:tentative="1">
      <w:start w:val="1"/>
      <w:numFmt w:val="decimal"/>
      <w:lvlText w:val="%7."/>
      <w:lvlJc w:val="left"/>
      <w:pPr>
        <w:ind w:left="5040" w:hanging="360"/>
      </w:pPr>
    </w:lvl>
    <w:lvl w:ilvl="7" w:tplc="380A0019" w:tentative="1">
      <w:start w:val="1"/>
      <w:numFmt w:val="lowerLetter"/>
      <w:lvlText w:val="%8."/>
      <w:lvlJc w:val="left"/>
      <w:pPr>
        <w:ind w:left="5760" w:hanging="360"/>
      </w:pPr>
    </w:lvl>
    <w:lvl w:ilvl="8" w:tplc="380A001B" w:tentative="1">
      <w:start w:val="1"/>
      <w:numFmt w:val="lowerRoman"/>
      <w:lvlText w:val="%9."/>
      <w:lvlJc w:val="right"/>
      <w:pPr>
        <w:ind w:left="6480" w:hanging="180"/>
      </w:pPr>
    </w:lvl>
  </w:abstractNum>
  <w:abstractNum w:abstractNumId="2" w15:restartNumberingAfterBreak="0">
    <w:nsid w:val="1AEA48AA"/>
    <w:multiLevelType w:val="hybridMultilevel"/>
    <w:tmpl w:val="42F296A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25C49F4"/>
    <w:multiLevelType w:val="hybridMultilevel"/>
    <w:tmpl w:val="0F1E68BA"/>
    <w:lvl w:ilvl="0" w:tplc="380A000F">
      <w:start w:val="1"/>
      <w:numFmt w:val="decimal"/>
      <w:lvlText w:val="%1."/>
      <w:lvlJc w:val="left"/>
      <w:pPr>
        <w:ind w:left="720" w:hanging="360"/>
      </w:pPr>
      <w:rPr>
        <w:rFonts w:hint="default"/>
      </w:rPr>
    </w:lvl>
    <w:lvl w:ilvl="1" w:tplc="380A0019" w:tentative="1">
      <w:start w:val="1"/>
      <w:numFmt w:val="lowerLetter"/>
      <w:lvlText w:val="%2."/>
      <w:lvlJc w:val="left"/>
      <w:pPr>
        <w:ind w:left="1440" w:hanging="360"/>
      </w:pPr>
    </w:lvl>
    <w:lvl w:ilvl="2" w:tplc="380A001B" w:tentative="1">
      <w:start w:val="1"/>
      <w:numFmt w:val="lowerRoman"/>
      <w:lvlText w:val="%3."/>
      <w:lvlJc w:val="right"/>
      <w:pPr>
        <w:ind w:left="2160" w:hanging="180"/>
      </w:pPr>
    </w:lvl>
    <w:lvl w:ilvl="3" w:tplc="380A000F" w:tentative="1">
      <w:start w:val="1"/>
      <w:numFmt w:val="decimal"/>
      <w:lvlText w:val="%4."/>
      <w:lvlJc w:val="left"/>
      <w:pPr>
        <w:ind w:left="2880" w:hanging="360"/>
      </w:pPr>
    </w:lvl>
    <w:lvl w:ilvl="4" w:tplc="380A0019" w:tentative="1">
      <w:start w:val="1"/>
      <w:numFmt w:val="lowerLetter"/>
      <w:lvlText w:val="%5."/>
      <w:lvlJc w:val="left"/>
      <w:pPr>
        <w:ind w:left="3600" w:hanging="360"/>
      </w:pPr>
    </w:lvl>
    <w:lvl w:ilvl="5" w:tplc="380A001B" w:tentative="1">
      <w:start w:val="1"/>
      <w:numFmt w:val="lowerRoman"/>
      <w:lvlText w:val="%6."/>
      <w:lvlJc w:val="right"/>
      <w:pPr>
        <w:ind w:left="4320" w:hanging="180"/>
      </w:pPr>
    </w:lvl>
    <w:lvl w:ilvl="6" w:tplc="380A000F" w:tentative="1">
      <w:start w:val="1"/>
      <w:numFmt w:val="decimal"/>
      <w:lvlText w:val="%7."/>
      <w:lvlJc w:val="left"/>
      <w:pPr>
        <w:ind w:left="5040" w:hanging="360"/>
      </w:pPr>
    </w:lvl>
    <w:lvl w:ilvl="7" w:tplc="380A0019" w:tentative="1">
      <w:start w:val="1"/>
      <w:numFmt w:val="lowerLetter"/>
      <w:lvlText w:val="%8."/>
      <w:lvlJc w:val="left"/>
      <w:pPr>
        <w:ind w:left="5760" w:hanging="360"/>
      </w:pPr>
    </w:lvl>
    <w:lvl w:ilvl="8" w:tplc="380A001B" w:tentative="1">
      <w:start w:val="1"/>
      <w:numFmt w:val="lowerRoman"/>
      <w:lvlText w:val="%9."/>
      <w:lvlJc w:val="right"/>
      <w:pPr>
        <w:ind w:left="6480" w:hanging="180"/>
      </w:pPr>
    </w:lvl>
  </w:abstractNum>
  <w:abstractNum w:abstractNumId="4" w15:restartNumberingAfterBreak="0">
    <w:nsid w:val="25026487"/>
    <w:multiLevelType w:val="hybridMultilevel"/>
    <w:tmpl w:val="4582052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7B7D88"/>
    <w:multiLevelType w:val="hybridMultilevel"/>
    <w:tmpl w:val="A552AFE8"/>
    <w:lvl w:ilvl="0" w:tplc="4A9218B8">
      <w:start w:val="1"/>
      <w:numFmt w:val="upperRoman"/>
      <w:lvlText w:val="%1."/>
      <w:lvlJc w:val="left"/>
      <w:pPr>
        <w:ind w:left="1080" w:hanging="720"/>
      </w:pPr>
      <w:rPr>
        <w:rFonts w:hint="default"/>
      </w:rPr>
    </w:lvl>
    <w:lvl w:ilvl="1" w:tplc="380A0019" w:tentative="1">
      <w:start w:val="1"/>
      <w:numFmt w:val="lowerLetter"/>
      <w:lvlText w:val="%2."/>
      <w:lvlJc w:val="left"/>
      <w:pPr>
        <w:ind w:left="1440" w:hanging="360"/>
      </w:pPr>
    </w:lvl>
    <w:lvl w:ilvl="2" w:tplc="380A001B" w:tentative="1">
      <w:start w:val="1"/>
      <w:numFmt w:val="lowerRoman"/>
      <w:lvlText w:val="%3."/>
      <w:lvlJc w:val="right"/>
      <w:pPr>
        <w:ind w:left="2160" w:hanging="180"/>
      </w:pPr>
    </w:lvl>
    <w:lvl w:ilvl="3" w:tplc="380A000F" w:tentative="1">
      <w:start w:val="1"/>
      <w:numFmt w:val="decimal"/>
      <w:lvlText w:val="%4."/>
      <w:lvlJc w:val="left"/>
      <w:pPr>
        <w:ind w:left="2880" w:hanging="360"/>
      </w:pPr>
    </w:lvl>
    <w:lvl w:ilvl="4" w:tplc="380A0019" w:tentative="1">
      <w:start w:val="1"/>
      <w:numFmt w:val="lowerLetter"/>
      <w:lvlText w:val="%5."/>
      <w:lvlJc w:val="left"/>
      <w:pPr>
        <w:ind w:left="3600" w:hanging="360"/>
      </w:pPr>
    </w:lvl>
    <w:lvl w:ilvl="5" w:tplc="380A001B" w:tentative="1">
      <w:start w:val="1"/>
      <w:numFmt w:val="lowerRoman"/>
      <w:lvlText w:val="%6."/>
      <w:lvlJc w:val="right"/>
      <w:pPr>
        <w:ind w:left="4320" w:hanging="180"/>
      </w:pPr>
    </w:lvl>
    <w:lvl w:ilvl="6" w:tplc="380A000F" w:tentative="1">
      <w:start w:val="1"/>
      <w:numFmt w:val="decimal"/>
      <w:lvlText w:val="%7."/>
      <w:lvlJc w:val="left"/>
      <w:pPr>
        <w:ind w:left="5040" w:hanging="360"/>
      </w:pPr>
    </w:lvl>
    <w:lvl w:ilvl="7" w:tplc="380A0019" w:tentative="1">
      <w:start w:val="1"/>
      <w:numFmt w:val="lowerLetter"/>
      <w:lvlText w:val="%8."/>
      <w:lvlJc w:val="left"/>
      <w:pPr>
        <w:ind w:left="5760" w:hanging="360"/>
      </w:pPr>
    </w:lvl>
    <w:lvl w:ilvl="8" w:tplc="380A001B" w:tentative="1">
      <w:start w:val="1"/>
      <w:numFmt w:val="lowerRoman"/>
      <w:lvlText w:val="%9."/>
      <w:lvlJc w:val="right"/>
      <w:pPr>
        <w:ind w:left="6480" w:hanging="180"/>
      </w:pPr>
    </w:lvl>
  </w:abstractNum>
  <w:abstractNum w:abstractNumId="6" w15:restartNumberingAfterBreak="0">
    <w:nsid w:val="449417EA"/>
    <w:multiLevelType w:val="hybridMultilevel"/>
    <w:tmpl w:val="D7E4EA22"/>
    <w:lvl w:ilvl="0" w:tplc="380A0017">
      <w:start w:val="1"/>
      <w:numFmt w:val="lowerLetter"/>
      <w:lvlText w:val="%1)"/>
      <w:lvlJc w:val="left"/>
      <w:pPr>
        <w:ind w:left="720" w:hanging="360"/>
      </w:pPr>
      <w:rPr>
        <w:rFonts w:hint="default"/>
      </w:rPr>
    </w:lvl>
    <w:lvl w:ilvl="1" w:tplc="380A0019" w:tentative="1">
      <w:start w:val="1"/>
      <w:numFmt w:val="lowerLetter"/>
      <w:lvlText w:val="%2."/>
      <w:lvlJc w:val="left"/>
      <w:pPr>
        <w:ind w:left="1440" w:hanging="360"/>
      </w:pPr>
    </w:lvl>
    <w:lvl w:ilvl="2" w:tplc="380A001B" w:tentative="1">
      <w:start w:val="1"/>
      <w:numFmt w:val="lowerRoman"/>
      <w:lvlText w:val="%3."/>
      <w:lvlJc w:val="right"/>
      <w:pPr>
        <w:ind w:left="2160" w:hanging="180"/>
      </w:pPr>
    </w:lvl>
    <w:lvl w:ilvl="3" w:tplc="380A000F" w:tentative="1">
      <w:start w:val="1"/>
      <w:numFmt w:val="decimal"/>
      <w:lvlText w:val="%4."/>
      <w:lvlJc w:val="left"/>
      <w:pPr>
        <w:ind w:left="2880" w:hanging="360"/>
      </w:pPr>
    </w:lvl>
    <w:lvl w:ilvl="4" w:tplc="380A0019" w:tentative="1">
      <w:start w:val="1"/>
      <w:numFmt w:val="lowerLetter"/>
      <w:lvlText w:val="%5."/>
      <w:lvlJc w:val="left"/>
      <w:pPr>
        <w:ind w:left="3600" w:hanging="360"/>
      </w:pPr>
    </w:lvl>
    <w:lvl w:ilvl="5" w:tplc="380A001B" w:tentative="1">
      <w:start w:val="1"/>
      <w:numFmt w:val="lowerRoman"/>
      <w:lvlText w:val="%6."/>
      <w:lvlJc w:val="right"/>
      <w:pPr>
        <w:ind w:left="4320" w:hanging="180"/>
      </w:pPr>
    </w:lvl>
    <w:lvl w:ilvl="6" w:tplc="380A000F" w:tentative="1">
      <w:start w:val="1"/>
      <w:numFmt w:val="decimal"/>
      <w:lvlText w:val="%7."/>
      <w:lvlJc w:val="left"/>
      <w:pPr>
        <w:ind w:left="5040" w:hanging="360"/>
      </w:pPr>
    </w:lvl>
    <w:lvl w:ilvl="7" w:tplc="380A0019" w:tentative="1">
      <w:start w:val="1"/>
      <w:numFmt w:val="lowerLetter"/>
      <w:lvlText w:val="%8."/>
      <w:lvlJc w:val="left"/>
      <w:pPr>
        <w:ind w:left="5760" w:hanging="360"/>
      </w:pPr>
    </w:lvl>
    <w:lvl w:ilvl="8" w:tplc="380A001B" w:tentative="1">
      <w:start w:val="1"/>
      <w:numFmt w:val="lowerRoman"/>
      <w:lvlText w:val="%9."/>
      <w:lvlJc w:val="right"/>
      <w:pPr>
        <w:ind w:left="6480" w:hanging="180"/>
      </w:pPr>
    </w:lvl>
  </w:abstractNum>
  <w:abstractNum w:abstractNumId="7" w15:restartNumberingAfterBreak="0">
    <w:nsid w:val="4B5F4385"/>
    <w:multiLevelType w:val="hybridMultilevel"/>
    <w:tmpl w:val="0B32D334"/>
    <w:lvl w:ilvl="0" w:tplc="380A0017">
      <w:start w:val="1"/>
      <w:numFmt w:val="lowerLetter"/>
      <w:lvlText w:val="%1)"/>
      <w:lvlJc w:val="left"/>
      <w:pPr>
        <w:ind w:left="360" w:hanging="360"/>
      </w:pPr>
      <w:rPr>
        <w:rFonts w:hint="default"/>
      </w:rPr>
    </w:lvl>
    <w:lvl w:ilvl="1" w:tplc="380A0019" w:tentative="1">
      <w:start w:val="1"/>
      <w:numFmt w:val="lowerLetter"/>
      <w:lvlText w:val="%2."/>
      <w:lvlJc w:val="left"/>
      <w:pPr>
        <w:ind w:left="1440" w:hanging="360"/>
      </w:pPr>
    </w:lvl>
    <w:lvl w:ilvl="2" w:tplc="380A001B" w:tentative="1">
      <w:start w:val="1"/>
      <w:numFmt w:val="lowerRoman"/>
      <w:lvlText w:val="%3."/>
      <w:lvlJc w:val="right"/>
      <w:pPr>
        <w:ind w:left="2160" w:hanging="180"/>
      </w:pPr>
    </w:lvl>
    <w:lvl w:ilvl="3" w:tplc="380A000F" w:tentative="1">
      <w:start w:val="1"/>
      <w:numFmt w:val="decimal"/>
      <w:lvlText w:val="%4."/>
      <w:lvlJc w:val="left"/>
      <w:pPr>
        <w:ind w:left="2880" w:hanging="360"/>
      </w:pPr>
    </w:lvl>
    <w:lvl w:ilvl="4" w:tplc="380A0019" w:tentative="1">
      <w:start w:val="1"/>
      <w:numFmt w:val="lowerLetter"/>
      <w:lvlText w:val="%5."/>
      <w:lvlJc w:val="left"/>
      <w:pPr>
        <w:ind w:left="3600" w:hanging="360"/>
      </w:pPr>
    </w:lvl>
    <w:lvl w:ilvl="5" w:tplc="380A001B" w:tentative="1">
      <w:start w:val="1"/>
      <w:numFmt w:val="lowerRoman"/>
      <w:lvlText w:val="%6."/>
      <w:lvlJc w:val="right"/>
      <w:pPr>
        <w:ind w:left="4320" w:hanging="180"/>
      </w:pPr>
    </w:lvl>
    <w:lvl w:ilvl="6" w:tplc="380A000F" w:tentative="1">
      <w:start w:val="1"/>
      <w:numFmt w:val="decimal"/>
      <w:lvlText w:val="%7."/>
      <w:lvlJc w:val="left"/>
      <w:pPr>
        <w:ind w:left="5040" w:hanging="360"/>
      </w:pPr>
    </w:lvl>
    <w:lvl w:ilvl="7" w:tplc="380A0019" w:tentative="1">
      <w:start w:val="1"/>
      <w:numFmt w:val="lowerLetter"/>
      <w:lvlText w:val="%8."/>
      <w:lvlJc w:val="left"/>
      <w:pPr>
        <w:ind w:left="5760" w:hanging="360"/>
      </w:pPr>
    </w:lvl>
    <w:lvl w:ilvl="8" w:tplc="380A001B" w:tentative="1">
      <w:start w:val="1"/>
      <w:numFmt w:val="lowerRoman"/>
      <w:lvlText w:val="%9."/>
      <w:lvlJc w:val="right"/>
      <w:pPr>
        <w:ind w:left="6480" w:hanging="180"/>
      </w:pPr>
    </w:lvl>
  </w:abstractNum>
  <w:abstractNum w:abstractNumId="8" w15:restartNumberingAfterBreak="0">
    <w:nsid w:val="4D1D1091"/>
    <w:multiLevelType w:val="hybridMultilevel"/>
    <w:tmpl w:val="0444EA3E"/>
    <w:lvl w:ilvl="0" w:tplc="380A0017">
      <w:start w:val="1"/>
      <w:numFmt w:val="lowerLetter"/>
      <w:lvlText w:val="%1)"/>
      <w:lvlJc w:val="left"/>
      <w:pPr>
        <w:ind w:left="720" w:hanging="360"/>
      </w:pPr>
      <w:rPr>
        <w:rFonts w:hint="default"/>
      </w:rPr>
    </w:lvl>
    <w:lvl w:ilvl="1" w:tplc="380A0019" w:tentative="1">
      <w:start w:val="1"/>
      <w:numFmt w:val="lowerLetter"/>
      <w:lvlText w:val="%2."/>
      <w:lvlJc w:val="left"/>
      <w:pPr>
        <w:ind w:left="1440" w:hanging="360"/>
      </w:pPr>
    </w:lvl>
    <w:lvl w:ilvl="2" w:tplc="380A001B" w:tentative="1">
      <w:start w:val="1"/>
      <w:numFmt w:val="lowerRoman"/>
      <w:lvlText w:val="%3."/>
      <w:lvlJc w:val="right"/>
      <w:pPr>
        <w:ind w:left="2160" w:hanging="180"/>
      </w:pPr>
    </w:lvl>
    <w:lvl w:ilvl="3" w:tplc="380A000F" w:tentative="1">
      <w:start w:val="1"/>
      <w:numFmt w:val="decimal"/>
      <w:lvlText w:val="%4."/>
      <w:lvlJc w:val="left"/>
      <w:pPr>
        <w:ind w:left="2880" w:hanging="360"/>
      </w:pPr>
    </w:lvl>
    <w:lvl w:ilvl="4" w:tplc="380A0019" w:tentative="1">
      <w:start w:val="1"/>
      <w:numFmt w:val="lowerLetter"/>
      <w:lvlText w:val="%5."/>
      <w:lvlJc w:val="left"/>
      <w:pPr>
        <w:ind w:left="3600" w:hanging="360"/>
      </w:pPr>
    </w:lvl>
    <w:lvl w:ilvl="5" w:tplc="380A001B" w:tentative="1">
      <w:start w:val="1"/>
      <w:numFmt w:val="lowerRoman"/>
      <w:lvlText w:val="%6."/>
      <w:lvlJc w:val="right"/>
      <w:pPr>
        <w:ind w:left="4320" w:hanging="180"/>
      </w:pPr>
    </w:lvl>
    <w:lvl w:ilvl="6" w:tplc="380A000F" w:tentative="1">
      <w:start w:val="1"/>
      <w:numFmt w:val="decimal"/>
      <w:lvlText w:val="%7."/>
      <w:lvlJc w:val="left"/>
      <w:pPr>
        <w:ind w:left="5040" w:hanging="360"/>
      </w:pPr>
    </w:lvl>
    <w:lvl w:ilvl="7" w:tplc="380A0019" w:tentative="1">
      <w:start w:val="1"/>
      <w:numFmt w:val="lowerLetter"/>
      <w:lvlText w:val="%8."/>
      <w:lvlJc w:val="left"/>
      <w:pPr>
        <w:ind w:left="5760" w:hanging="360"/>
      </w:pPr>
    </w:lvl>
    <w:lvl w:ilvl="8" w:tplc="380A001B" w:tentative="1">
      <w:start w:val="1"/>
      <w:numFmt w:val="lowerRoman"/>
      <w:lvlText w:val="%9."/>
      <w:lvlJc w:val="right"/>
      <w:pPr>
        <w:ind w:left="6480" w:hanging="180"/>
      </w:pPr>
    </w:lvl>
  </w:abstractNum>
  <w:abstractNum w:abstractNumId="9" w15:restartNumberingAfterBreak="0">
    <w:nsid w:val="5FEB7AD9"/>
    <w:multiLevelType w:val="hybridMultilevel"/>
    <w:tmpl w:val="ADBA6614"/>
    <w:lvl w:ilvl="0" w:tplc="11F8977A">
      <w:start w:val="1"/>
      <w:numFmt w:val="upperRoman"/>
      <w:lvlText w:val="%1."/>
      <w:lvlJc w:val="left"/>
      <w:pPr>
        <w:ind w:left="1080" w:hanging="720"/>
      </w:pPr>
      <w:rPr>
        <w:rFonts w:hint="default"/>
      </w:rPr>
    </w:lvl>
    <w:lvl w:ilvl="1" w:tplc="380A0019" w:tentative="1">
      <w:start w:val="1"/>
      <w:numFmt w:val="lowerLetter"/>
      <w:lvlText w:val="%2."/>
      <w:lvlJc w:val="left"/>
      <w:pPr>
        <w:ind w:left="1440" w:hanging="360"/>
      </w:pPr>
    </w:lvl>
    <w:lvl w:ilvl="2" w:tplc="380A001B" w:tentative="1">
      <w:start w:val="1"/>
      <w:numFmt w:val="lowerRoman"/>
      <w:lvlText w:val="%3."/>
      <w:lvlJc w:val="right"/>
      <w:pPr>
        <w:ind w:left="2160" w:hanging="180"/>
      </w:pPr>
    </w:lvl>
    <w:lvl w:ilvl="3" w:tplc="380A000F" w:tentative="1">
      <w:start w:val="1"/>
      <w:numFmt w:val="decimal"/>
      <w:lvlText w:val="%4."/>
      <w:lvlJc w:val="left"/>
      <w:pPr>
        <w:ind w:left="2880" w:hanging="360"/>
      </w:pPr>
    </w:lvl>
    <w:lvl w:ilvl="4" w:tplc="380A0019" w:tentative="1">
      <w:start w:val="1"/>
      <w:numFmt w:val="lowerLetter"/>
      <w:lvlText w:val="%5."/>
      <w:lvlJc w:val="left"/>
      <w:pPr>
        <w:ind w:left="3600" w:hanging="360"/>
      </w:pPr>
    </w:lvl>
    <w:lvl w:ilvl="5" w:tplc="380A001B" w:tentative="1">
      <w:start w:val="1"/>
      <w:numFmt w:val="lowerRoman"/>
      <w:lvlText w:val="%6."/>
      <w:lvlJc w:val="right"/>
      <w:pPr>
        <w:ind w:left="4320" w:hanging="180"/>
      </w:pPr>
    </w:lvl>
    <w:lvl w:ilvl="6" w:tplc="380A000F" w:tentative="1">
      <w:start w:val="1"/>
      <w:numFmt w:val="decimal"/>
      <w:lvlText w:val="%7."/>
      <w:lvlJc w:val="left"/>
      <w:pPr>
        <w:ind w:left="5040" w:hanging="360"/>
      </w:pPr>
    </w:lvl>
    <w:lvl w:ilvl="7" w:tplc="380A0019" w:tentative="1">
      <w:start w:val="1"/>
      <w:numFmt w:val="lowerLetter"/>
      <w:lvlText w:val="%8."/>
      <w:lvlJc w:val="left"/>
      <w:pPr>
        <w:ind w:left="5760" w:hanging="360"/>
      </w:pPr>
    </w:lvl>
    <w:lvl w:ilvl="8" w:tplc="380A001B" w:tentative="1">
      <w:start w:val="1"/>
      <w:numFmt w:val="lowerRoman"/>
      <w:lvlText w:val="%9."/>
      <w:lvlJc w:val="right"/>
      <w:pPr>
        <w:ind w:left="6480" w:hanging="180"/>
      </w:pPr>
    </w:lvl>
  </w:abstractNum>
  <w:abstractNum w:abstractNumId="10" w15:restartNumberingAfterBreak="0">
    <w:nsid w:val="6B2419FD"/>
    <w:multiLevelType w:val="hybridMultilevel"/>
    <w:tmpl w:val="FF340A98"/>
    <w:lvl w:ilvl="0" w:tplc="107CD4D2">
      <w:start w:val="1"/>
      <w:numFmt w:val="decimal"/>
      <w:lvlText w:val="%1."/>
      <w:lvlJc w:val="left"/>
      <w:pPr>
        <w:ind w:left="720" w:hanging="360"/>
      </w:pPr>
      <w:rPr>
        <w:rFonts w:asciiTheme="minorHAnsi" w:hAnsiTheme="minorHAnsi" w:cstheme="minorBidi" w:hint="default"/>
        <w:sz w:val="22"/>
      </w:rPr>
    </w:lvl>
    <w:lvl w:ilvl="1" w:tplc="380A0019" w:tentative="1">
      <w:start w:val="1"/>
      <w:numFmt w:val="lowerLetter"/>
      <w:lvlText w:val="%2."/>
      <w:lvlJc w:val="left"/>
      <w:pPr>
        <w:ind w:left="1440" w:hanging="360"/>
      </w:pPr>
    </w:lvl>
    <w:lvl w:ilvl="2" w:tplc="380A001B" w:tentative="1">
      <w:start w:val="1"/>
      <w:numFmt w:val="lowerRoman"/>
      <w:lvlText w:val="%3."/>
      <w:lvlJc w:val="right"/>
      <w:pPr>
        <w:ind w:left="2160" w:hanging="180"/>
      </w:pPr>
    </w:lvl>
    <w:lvl w:ilvl="3" w:tplc="380A000F" w:tentative="1">
      <w:start w:val="1"/>
      <w:numFmt w:val="decimal"/>
      <w:lvlText w:val="%4."/>
      <w:lvlJc w:val="left"/>
      <w:pPr>
        <w:ind w:left="2880" w:hanging="360"/>
      </w:pPr>
    </w:lvl>
    <w:lvl w:ilvl="4" w:tplc="380A0019" w:tentative="1">
      <w:start w:val="1"/>
      <w:numFmt w:val="lowerLetter"/>
      <w:lvlText w:val="%5."/>
      <w:lvlJc w:val="left"/>
      <w:pPr>
        <w:ind w:left="3600" w:hanging="360"/>
      </w:pPr>
    </w:lvl>
    <w:lvl w:ilvl="5" w:tplc="380A001B" w:tentative="1">
      <w:start w:val="1"/>
      <w:numFmt w:val="lowerRoman"/>
      <w:lvlText w:val="%6."/>
      <w:lvlJc w:val="right"/>
      <w:pPr>
        <w:ind w:left="4320" w:hanging="180"/>
      </w:pPr>
    </w:lvl>
    <w:lvl w:ilvl="6" w:tplc="380A000F" w:tentative="1">
      <w:start w:val="1"/>
      <w:numFmt w:val="decimal"/>
      <w:lvlText w:val="%7."/>
      <w:lvlJc w:val="left"/>
      <w:pPr>
        <w:ind w:left="5040" w:hanging="360"/>
      </w:pPr>
    </w:lvl>
    <w:lvl w:ilvl="7" w:tplc="380A0019" w:tentative="1">
      <w:start w:val="1"/>
      <w:numFmt w:val="lowerLetter"/>
      <w:lvlText w:val="%8."/>
      <w:lvlJc w:val="left"/>
      <w:pPr>
        <w:ind w:left="5760" w:hanging="360"/>
      </w:pPr>
    </w:lvl>
    <w:lvl w:ilvl="8" w:tplc="380A001B" w:tentative="1">
      <w:start w:val="1"/>
      <w:numFmt w:val="lowerRoman"/>
      <w:lvlText w:val="%9."/>
      <w:lvlJc w:val="right"/>
      <w:pPr>
        <w:ind w:left="6480" w:hanging="180"/>
      </w:pPr>
    </w:lvl>
  </w:abstractNum>
  <w:abstractNum w:abstractNumId="11" w15:restartNumberingAfterBreak="0">
    <w:nsid w:val="7C49406A"/>
    <w:multiLevelType w:val="hybridMultilevel"/>
    <w:tmpl w:val="A61867E4"/>
    <w:lvl w:ilvl="0" w:tplc="380A0017">
      <w:start w:val="1"/>
      <w:numFmt w:val="lowerLetter"/>
      <w:lvlText w:val="%1)"/>
      <w:lvlJc w:val="left"/>
      <w:pPr>
        <w:ind w:left="720" w:hanging="360"/>
      </w:pPr>
      <w:rPr>
        <w:rFonts w:hint="default"/>
      </w:rPr>
    </w:lvl>
    <w:lvl w:ilvl="1" w:tplc="380A0019" w:tentative="1">
      <w:start w:val="1"/>
      <w:numFmt w:val="lowerLetter"/>
      <w:lvlText w:val="%2."/>
      <w:lvlJc w:val="left"/>
      <w:pPr>
        <w:ind w:left="1440" w:hanging="360"/>
      </w:pPr>
    </w:lvl>
    <w:lvl w:ilvl="2" w:tplc="380A001B" w:tentative="1">
      <w:start w:val="1"/>
      <w:numFmt w:val="lowerRoman"/>
      <w:lvlText w:val="%3."/>
      <w:lvlJc w:val="right"/>
      <w:pPr>
        <w:ind w:left="2160" w:hanging="180"/>
      </w:pPr>
    </w:lvl>
    <w:lvl w:ilvl="3" w:tplc="380A000F" w:tentative="1">
      <w:start w:val="1"/>
      <w:numFmt w:val="decimal"/>
      <w:lvlText w:val="%4."/>
      <w:lvlJc w:val="left"/>
      <w:pPr>
        <w:ind w:left="2880" w:hanging="360"/>
      </w:pPr>
    </w:lvl>
    <w:lvl w:ilvl="4" w:tplc="380A0019" w:tentative="1">
      <w:start w:val="1"/>
      <w:numFmt w:val="lowerLetter"/>
      <w:lvlText w:val="%5."/>
      <w:lvlJc w:val="left"/>
      <w:pPr>
        <w:ind w:left="3600" w:hanging="360"/>
      </w:pPr>
    </w:lvl>
    <w:lvl w:ilvl="5" w:tplc="380A001B" w:tentative="1">
      <w:start w:val="1"/>
      <w:numFmt w:val="lowerRoman"/>
      <w:lvlText w:val="%6."/>
      <w:lvlJc w:val="right"/>
      <w:pPr>
        <w:ind w:left="4320" w:hanging="180"/>
      </w:pPr>
    </w:lvl>
    <w:lvl w:ilvl="6" w:tplc="380A000F" w:tentative="1">
      <w:start w:val="1"/>
      <w:numFmt w:val="decimal"/>
      <w:lvlText w:val="%7."/>
      <w:lvlJc w:val="left"/>
      <w:pPr>
        <w:ind w:left="5040" w:hanging="360"/>
      </w:pPr>
    </w:lvl>
    <w:lvl w:ilvl="7" w:tplc="380A0019" w:tentative="1">
      <w:start w:val="1"/>
      <w:numFmt w:val="lowerLetter"/>
      <w:lvlText w:val="%8."/>
      <w:lvlJc w:val="left"/>
      <w:pPr>
        <w:ind w:left="5760" w:hanging="360"/>
      </w:pPr>
    </w:lvl>
    <w:lvl w:ilvl="8" w:tplc="380A001B" w:tentative="1">
      <w:start w:val="1"/>
      <w:numFmt w:val="lowerRoman"/>
      <w:lvlText w:val="%9."/>
      <w:lvlJc w:val="right"/>
      <w:pPr>
        <w:ind w:left="6480" w:hanging="180"/>
      </w:pPr>
    </w:lvl>
  </w:abstractNum>
  <w:abstractNum w:abstractNumId="12" w15:restartNumberingAfterBreak="0">
    <w:nsid w:val="7FCB55AD"/>
    <w:multiLevelType w:val="multilevel"/>
    <w:tmpl w:val="B9F6B584"/>
    <w:lvl w:ilvl="0">
      <w:start w:val="1"/>
      <w:numFmt w:val="decimal"/>
      <w:lvlText w:val="%1."/>
      <w:lvlJc w:val="left"/>
      <w:pPr>
        <w:ind w:left="720" w:hanging="360"/>
      </w:pPr>
      <w:rPr>
        <w:rFonts w:hint="default"/>
      </w:rPr>
    </w:lvl>
    <w:lvl w:ilvl="1">
      <w:start w:val="2"/>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16cid:durableId="1391347496">
    <w:abstractNumId w:val="4"/>
  </w:num>
  <w:num w:numId="2" w16cid:durableId="510686839">
    <w:abstractNumId w:val="7"/>
  </w:num>
  <w:num w:numId="3" w16cid:durableId="468520929">
    <w:abstractNumId w:val="3"/>
  </w:num>
  <w:num w:numId="4" w16cid:durableId="1793092903">
    <w:abstractNumId w:val="10"/>
  </w:num>
  <w:num w:numId="5" w16cid:durableId="109739574">
    <w:abstractNumId w:val="0"/>
  </w:num>
  <w:num w:numId="6" w16cid:durableId="691420430">
    <w:abstractNumId w:val="8"/>
  </w:num>
  <w:num w:numId="7" w16cid:durableId="1202744640">
    <w:abstractNumId w:val="12"/>
  </w:num>
  <w:num w:numId="8" w16cid:durableId="175847341">
    <w:abstractNumId w:val="2"/>
  </w:num>
  <w:num w:numId="9" w16cid:durableId="713391392">
    <w:abstractNumId w:val="5"/>
  </w:num>
  <w:num w:numId="10" w16cid:durableId="101656221">
    <w:abstractNumId w:val="9"/>
  </w:num>
  <w:num w:numId="11" w16cid:durableId="2050452990">
    <w:abstractNumId w:val="11"/>
  </w:num>
  <w:num w:numId="12" w16cid:durableId="447894418">
    <w:abstractNumId w:val="6"/>
  </w:num>
  <w:num w:numId="13" w16cid:durableId="11021892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FBD"/>
    <w:rsid w:val="00016F4E"/>
    <w:rsid w:val="00077F3C"/>
    <w:rsid w:val="00085AC3"/>
    <w:rsid w:val="000C5DBF"/>
    <w:rsid w:val="000E23CC"/>
    <w:rsid w:val="000F2517"/>
    <w:rsid w:val="0013072B"/>
    <w:rsid w:val="0014090C"/>
    <w:rsid w:val="00154029"/>
    <w:rsid w:val="00164AB8"/>
    <w:rsid w:val="00197232"/>
    <w:rsid w:val="001A73E3"/>
    <w:rsid w:val="001F0FED"/>
    <w:rsid w:val="001F1B1E"/>
    <w:rsid w:val="001F7958"/>
    <w:rsid w:val="0021316E"/>
    <w:rsid w:val="002144A2"/>
    <w:rsid w:val="00227BFD"/>
    <w:rsid w:val="002578BA"/>
    <w:rsid w:val="00264B56"/>
    <w:rsid w:val="00295C6D"/>
    <w:rsid w:val="002977BC"/>
    <w:rsid w:val="002C4DAB"/>
    <w:rsid w:val="002C7508"/>
    <w:rsid w:val="002D722F"/>
    <w:rsid w:val="003437D8"/>
    <w:rsid w:val="00346B06"/>
    <w:rsid w:val="00392497"/>
    <w:rsid w:val="003A5464"/>
    <w:rsid w:val="003E66D8"/>
    <w:rsid w:val="004030E6"/>
    <w:rsid w:val="00417D85"/>
    <w:rsid w:val="0042362B"/>
    <w:rsid w:val="00436B0C"/>
    <w:rsid w:val="00442273"/>
    <w:rsid w:val="0044587C"/>
    <w:rsid w:val="00447FB8"/>
    <w:rsid w:val="00451ECB"/>
    <w:rsid w:val="004576D7"/>
    <w:rsid w:val="004A7746"/>
    <w:rsid w:val="004D176E"/>
    <w:rsid w:val="004E3701"/>
    <w:rsid w:val="00517388"/>
    <w:rsid w:val="005278F7"/>
    <w:rsid w:val="00556ACD"/>
    <w:rsid w:val="0056142E"/>
    <w:rsid w:val="00567E30"/>
    <w:rsid w:val="0057045F"/>
    <w:rsid w:val="005722A8"/>
    <w:rsid w:val="00581641"/>
    <w:rsid w:val="005A7542"/>
    <w:rsid w:val="005C3A30"/>
    <w:rsid w:val="005C5395"/>
    <w:rsid w:val="005D004D"/>
    <w:rsid w:val="006309AC"/>
    <w:rsid w:val="006530E7"/>
    <w:rsid w:val="00656082"/>
    <w:rsid w:val="00687EA0"/>
    <w:rsid w:val="006A0312"/>
    <w:rsid w:val="006B609A"/>
    <w:rsid w:val="006D0290"/>
    <w:rsid w:val="006F643D"/>
    <w:rsid w:val="00713A3F"/>
    <w:rsid w:val="007353BF"/>
    <w:rsid w:val="007474E0"/>
    <w:rsid w:val="00765830"/>
    <w:rsid w:val="00771B44"/>
    <w:rsid w:val="0079328C"/>
    <w:rsid w:val="00796341"/>
    <w:rsid w:val="007E2F57"/>
    <w:rsid w:val="007F5BF4"/>
    <w:rsid w:val="00825423"/>
    <w:rsid w:val="00872513"/>
    <w:rsid w:val="00877E39"/>
    <w:rsid w:val="00880A23"/>
    <w:rsid w:val="00880B21"/>
    <w:rsid w:val="00896045"/>
    <w:rsid w:val="00896E86"/>
    <w:rsid w:val="008B24B0"/>
    <w:rsid w:val="008B36DB"/>
    <w:rsid w:val="008F5423"/>
    <w:rsid w:val="00923E56"/>
    <w:rsid w:val="00925281"/>
    <w:rsid w:val="00927315"/>
    <w:rsid w:val="00956547"/>
    <w:rsid w:val="00962CE6"/>
    <w:rsid w:val="00984B5B"/>
    <w:rsid w:val="009A77C5"/>
    <w:rsid w:val="009A7DF4"/>
    <w:rsid w:val="009C1DAC"/>
    <w:rsid w:val="009F4E4C"/>
    <w:rsid w:val="00A16D2C"/>
    <w:rsid w:val="00A22D85"/>
    <w:rsid w:val="00A43F18"/>
    <w:rsid w:val="00A65157"/>
    <w:rsid w:val="00A76750"/>
    <w:rsid w:val="00A86AE9"/>
    <w:rsid w:val="00AA2CA3"/>
    <w:rsid w:val="00AA4174"/>
    <w:rsid w:val="00AA691E"/>
    <w:rsid w:val="00AB64B1"/>
    <w:rsid w:val="00AD7347"/>
    <w:rsid w:val="00AE1531"/>
    <w:rsid w:val="00AF370E"/>
    <w:rsid w:val="00B24AA2"/>
    <w:rsid w:val="00B45FFB"/>
    <w:rsid w:val="00B60395"/>
    <w:rsid w:val="00B626B0"/>
    <w:rsid w:val="00B73B5D"/>
    <w:rsid w:val="00C01451"/>
    <w:rsid w:val="00C13BED"/>
    <w:rsid w:val="00C14376"/>
    <w:rsid w:val="00C2068A"/>
    <w:rsid w:val="00C24E25"/>
    <w:rsid w:val="00C550D9"/>
    <w:rsid w:val="00CF4295"/>
    <w:rsid w:val="00D157C0"/>
    <w:rsid w:val="00D72316"/>
    <w:rsid w:val="00D83AF7"/>
    <w:rsid w:val="00D8576F"/>
    <w:rsid w:val="00DA044D"/>
    <w:rsid w:val="00DD12D8"/>
    <w:rsid w:val="00DE0114"/>
    <w:rsid w:val="00E02B4A"/>
    <w:rsid w:val="00E060F2"/>
    <w:rsid w:val="00E669D1"/>
    <w:rsid w:val="00EA2CAD"/>
    <w:rsid w:val="00ED1FBD"/>
    <w:rsid w:val="00EE64E2"/>
    <w:rsid w:val="00EF781F"/>
    <w:rsid w:val="00F17804"/>
    <w:rsid w:val="00F304B4"/>
    <w:rsid w:val="00F52B41"/>
    <w:rsid w:val="00F623E6"/>
    <w:rsid w:val="00F8423F"/>
    <w:rsid w:val="00FA1307"/>
    <w:rsid w:val="00FA77AD"/>
    <w:rsid w:val="00FD0352"/>
    <w:rsid w:val="00FD28F9"/>
    <w:rsid w:val="00FF70EE"/>
  </w:rsids>
  <m:mathPr>
    <m:mathFont m:val="Cambria Math"/>
    <m:brkBin m:val="before"/>
    <m:brkBinSub m:val="--"/>
    <m:smallFrac m:val="0"/>
    <m:dispDef/>
    <m:lMargin m:val="0"/>
    <m:rMargin m:val="0"/>
    <m:defJc m:val="centerGroup"/>
    <m:wrapIndent m:val="1440"/>
    <m:intLim m:val="subSup"/>
    <m:naryLim m:val="undOvr"/>
  </m:mathPr>
  <w:themeFontLang w:val="es-U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20111"/>
  <w15:chartTrackingRefBased/>
  <w15:docId w15:val="{72AC3D76-DFD6-406E-B9A5-7293DA14A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U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ED1FB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ED1FBD"/>
    <w:rPr>
      <w:sz w:val="20"/>
      <w:szCs w:val="20"/>
    </w:rPr>
  </w:style>
  <w:style w:type="character" w:styleId="Refdenotaalpie">
    <w:name w:val="footnote reference"/>
    <w:basedOn w:val="Fuentedeprrafopredeter"/>
    <w:uiPriority w:val="99"/>
    <w:semiHidden/>
    <w:unhideWhenUsed/>
    <w:rsid w:val="00ED1FBD"/>
    <w:rPr>
      <w:vertAlign w:val="superscript"/>
    </w:rPr>
  </w:style>
  <w:style w:type="paragraph" w:styleId="Prrafodelista">
    <w:name w:val="List Paragraph"/>
    <w:basedOn w:val="Normal"/>
    <w:uiPriority w:val="34"/>
    <w:qFormat/>
    <w:rsid w:val="004030E6"/>
    <w:pPr>
      <w:ind w:left="720"/>
      <w:contextualSpacing/>
    </w:pPr>
    <w:rPr>
      <w:lang w:val="en-US"/>
    </w:rPr>
  </w:style>
  <w:style w:type="character" w:styleId="Hipervnculo">
    <w:name w:val="Hyperlink"/>
    <w:basedOn w:val="Fuentedeprrafopredeter"/>
    <w:uiPriority w:val="99"/>
    <w:unhideWhenUsed/>
    <w:rsid w:val="004030E6"/>
    <w:rPr>
      <w:color w:val="0563C1" w:themeColor="hyperlink"/>
      <w:u w:val="single"/>
    </w:rPr>
  </w:style>
  <w:style w:type="character" w:customStyle="1" w:styleId="Mencinsinresolver1">
    <w:name w:val="Mención sin resolver1"/>
    <w:basedOn w:val="Fuentedeprrafopredeter"/>
    <w:uiPriority w:val="99"/>
    <w:semiHidden/>
    <w:unhideWhenUsed/>
    <w:rsid w:val="00227BFD"/>
    <w:rPr>
      <w:color w:val="605E5C"/>
      <w:shd w:val="clear" w:color="auto" w:fill="E1DFDD"/>
    </w:rPr>
  </w:style>
  <w:style w:type="paragraph" w:customStyle="1" w:styleId="Default">
    <w:name w:val="Default"/>
    <w:rsid w:val="00556ACD"/>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6E3366-3062-4628-84BC-E6198926AE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22</Pages>
  <Words>7418</Words>
  <Characters>40801</Characters>
  <Application>Microsoft Office Word</Application>
  <DocSecurity>0</DocSecurity>
  <Lines>340</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Hugo</dc:creator>
  <cp:keywords/>
  <dc:description/>
  <cp:lastModifiedBy>Fabio Barretto</cp:lastModifiedBy>
  <cp:revision>3</cp:revision>
  <dcterms:created xsi:type="dcterms:W3CDTF">2020-11-03T21:23:00Z</dcterms:created>
  <dcterms:modified xsi:type="dcterms:W3CDTF">2026-03-30T08:31:00Z</dcterms:modified>
</cp:coreProperties>
</file>