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6DC1858" w14:textId="1CE6475C" w:rsidR="00DE0F3E" w:rsidRPr="000A2EB9" w:rsidRDefault="0070646B" w:rsidP="006271F7">
      <w:pPr>
        <w:jc w:val="center"/>
        <w:rPr>
          <w:b/>
          <w:lang w:val="es-ES"/>
        </w:rPr>
      </w:pPr>
      <w:bookmarkStart w:id="0" w:name="_GoBack"/>
      <w:r w:rsidRPr="000A2EB9">
        <w:rPr>
          <w:b/>
          <w:lang w:val="es-ES"/>
        </w:rPr>
        <w:t xml:space="preserve">EL DERECHO DEL TRABAJO EN LA </w:t>
      </w:r>
      <w:r w:rsidR="00F34556" w:rsidRPr="000A2EB9">
        <w:rPr>
          <w:b/>
          <w:lang w:val="es-ES"/>
        </w:rPr>
        <w:t xml:space="preserve">JURISPRUDENCIA RECIENTE DE LA </w:t>
      </w:r>
      <w:r w:rsidR="00DE0F3E" w:rsidRPr="000A2EB9">
        <w:rPr>
          <w:b/>
          <w:lang w:val="es-ES"/>
        </w:rPr>
        <w:t>CORTE SUPREMA</w:t>
      </w:r>
      <w:r w:rsidR="00DA2035" w:rsidRPr="000A2EB9">
        <w:rPr>
          <w:b/>
          <w:lang w:val="es-ES"/>
        </w:rPr>
        <w:t xml:space="preserve"> DE JUSTICIA </w:t>
      </w:r>
      <w:r w:rsidRPr="000A2EB9">
        <w:rPr>
          <w:b/>
          <w:lang w:val="es-ES"/>
        </w:rPr>
        <w:t>DE LA</w:t>
      </w:r>
      <w:r w:rsidR="006271F7" w:rsidRPr="000A2EB9">
        <w:rPr>
          <w:b/>
          <w:lang w:val="es-ES"/>
        </w:rPr>
        <w:t xml:space="preserve"> </w:t>
      </w:r>
      <w:r w:rsidRPr="000A2EB9">
        <w:rPr>
          <w:b/>
          <w:lang w:val="es-ES"/>
        </w:rPr>
        <w:t xml:space="preserve">REPÚBLICA </w:t>
      </w:r>
      <w:r w:rsidR="00490E22" w:rsidRPr="000A2EB9">
        <w:rPr>
          <w:b/>
          <w:lang w:val="es-ES"/>
        </w:rPr>
        <w:t>ARGENTINA.</w:t>
      </w:r>
    </w:p>
    <w:p w14:paraId="334CE7BB" w14:textId="77777777" w:rsidR="00DA2035" w:rsidRPr="000A2EB9" w:rsidRDefault="00DA2035" w:rsidP="00DA2035">
      <w:pPr>
        <w:jc w:val="center"/>
        <w:rPr>
          <w:b/>
          <w:lang w:val="es-ES"/>
        </w:rPr>
      </w:pPr>
    </w:p>
    <w:bookmarkEnd w:id="0"/>
    <w:p w14:paraId="2B569217" w14:textId="3F0F2298" w:rsidR="0070646B" w:rsidRPr="000A2EB9" w:rsidRDefault="0070646B" w:rsidP="0070646B">
      <w:pPr>
        <w:pBdr>
          <w:bottom w:val="single" w:sz="6" w:space="1" w:color="auto"/>
        </w:pBdr>
        <w:rPr>
          <w:b/>
          <w:lang w:val="es-ES"/>
        </w:rPr>
      </w:pPr>
      <w:r w:rsidRPr="000A2EB9">
        <w:rPr>
          <w:b/>
          <w:lang w:val="es-ES"/>
        </w:rPr>
        <w:t>Por Miguel Angel Maza.</w:t>
      </w:r>
    </w:p>
    <w:p w14:paraId="22F98146" w14:textId="77777777" w:rsidR="0070646B" w:rsidRPr="000A2EB9" w:rsidRDefault="0070646B" w:rsidP="0070646B">
      <w:pPr>
        <w:rPr>
          <w:b/>
          <w:lang w:val="es-ES"/>
        </w:rPr>
      </w:pPr>
    </w:p>
    <w:p w14:paraId="1C478357" w14:textId="6DF2C95D" w:rsidR="00F34556" w:rsidRPr="000A2EB9" w:rsidRDefault="0070646B" w:rsidP="0007406A">
      <w:pPr>
        <w:spacing w:line="360" w:lineRule="auto"/>
        <w:jc w:val="both"/>
        <w:rPr>
          <w:b/>
          <w:bCs/>
          <w:lang w:val="es-ES"/>
        </w:rPr>
      </w:pPr>
      <w:r w:rsidRPr="000A2EB9">
        <w:rPr>
          <w:b/>
          <w:bCs/>
          <w:lang w:val="es-ES"/>
        </w:rPr>
        <w:t>I.</w:t>
      </w:r>
      <w:r w:rsidR="00F34556" w:rsidRPr="000A2EB9">
        <w:rPr>
          <w:b/>
          <w:bCs/>
          <w:lang w:val="es-ES"/>
        </w:rPr>
        <w:t xml:space="preserve"> Introducción.</w:t>
      </w:r>
    </w:p>
    <w:p w14:paraId="63145C8D" w14:textId="5107334A" w:rsidR="0070646B" w:rsidRPr="000A2EB9" w:rsidRDefault="0070646B" w:rsidP="0007406A">
      <w:pPr>
        <w:spacing w:line="360" w:lineRule="auto"/>
        <w:jc w:val="both"/>
        <w:rPr>
          <w:lang w:val="es-ES"/>
        </w:rPr>
      </w:pPr>
      <w:r w:rsidRPr="000A2EB9">
        <w:rPr>
          <w:lang w:val="es-ES"/>
        </w:rPr>
        <w:tab/>
      </w:r>
      <w:r w:rsidRPr="000A2EB9">
        <w:rPr>
          <w:lang w:val="es-ES"/>
        </w:rPr>
        <w:tab/>
        <w:t xml:space="preserve">Vivimos en un mundo de cambios constantes y vertiginosos y el Derecho, como toda creación humana e íntimamente vinculada a la realidad de los hechos, sigue esas mutaciones </w:t>
      </w:r>
      <w:r w:rsidR="0097544A" w:rsidRPr="000A2EB9">
        <w:rPr>
          <w:lang w:val="es-ES"/>
        </w:rPr>
        <w:t xml:space="preserve">adaptándose a </w:t>
      </w:r>
      <w:r w:rsidR="00F34556" w:rsidRPr="000A2EB9">
        <w:rPr>
          <w:lang w:val="es-ES"/>
        </w:rPr>
        <w:t>su</w:t>
      </w:r>
      <w:r w:rsidR="0097544A" w:rsidRPr="000A2EB9">
        <w:rPr>
          <w:lang w:val="es-ES"/>
        </w:rPr>
        <w:t xml:space="preserve"> </w:t>
      </w:r>
      <w:r w:rsidRPr="000A2EB9">
        <w:rPr>
          <w:lang w:val="es-ES"/>
        </w:rPr>
        <w:t>ritmo. Por añadidura, las recurrentes crisis económicas y sociales que azotan Latinoamérica desde la década de los años 70 ha</w:t>
      </w:r>
      <w:r w:rsidR="0055694C" w:rsidRPr="000A2EB9">
        <w:rPr>
          <w:lang w:val="es-ES"/>
        </w:rPr>
        <w:t>n</w:t>
      </w:r>
      <w:r w:rsidRPr="000A2EB9">
        <w:rPr>
          <w:lang w:val="es-ES"/>
        </w:rPr>
        <w:t xml:space="preserve"> provocado vaivenes políticos e ideológicos que afectan los ciclos naturales de nuestra disciplina, </w:t>
      </w:r>
      <w:r w:rsidR="0055694C" w:rsidRPr="000A2EB9">
        <w:rPr>
          <w:lang w:val="es-ES"/>
        </w:rPr>
        <w:t xml:space="preserve">el Derecho del Trabajo y de la Seguridad Social, </w:t>
      </w:r>
      <w:r w:rsidRPr="000A2EB9">
        <w:rPr>
          <w:lang w:val="es-ES"/>
        </w:rPr>
        <w:t>tan cercana a los problemas sociales.</w:t>
      </w:r>
    </w:p>
    <w:p w14:paraId="333DF376" w14:textId="4C1A4CC5" w:rsidR="0070646B" w:rsidRPr="000A2EB9" w:rsidRDefault="0070646B" w:rsidP="0007406A">
      <w:pPr>
        <w:spacing w:line="360" w:lineRule="auto"/>
        <w:jc w:val="both"/>
        <w:rPr>
          <w:lang w:val="es-ES"/>
        </w:rPr>
      </w:pPr>
      <w:r w:rsidRPr="000A2EB9">
        <w:rPr>
          <w:lang w:val="es-ES"/>
        </w:rPr>
        <w:tab/>
      </w:r>
      <w:r w:rsidRPr="000A2EB9">
        <w:rPr>
          <w:lang w:val="es-ES"/>
        </w:rPr>
        <w:tab/>
        <w:t xml:space="preserve">Tras cada </w:t>
      </w:r>
      <w:r w:rsidR="00F34556" w:rsidRPr="000A2EB9">
        <w:rPr>
          <w:lang w:val="es-ES"/>
        </w:rPr>
        <w:t>pozo</w:t>
      </w:r>
      <w:r w:rsidRPr="000A2EB9">
        <w:rPr>
          <w:lang w:val="es-ES"/>
        </w:rPr>
        <w:t xml:space="preserve"> </w:t>
      </w:r>
      <w:r w:rsidR="00F34556" w:rsidRPr="000A2EB9">
        <w:rPr>
          <w:lang w:val="es-ES"/>
        </w:rPr>
        <w:t xml:space="preserve">provocado por </w:t>
      </w:r>
      <w:r w:rsidRPr="000A2EB9">
        <w:rPr>
          <w:lang w:val="es-ES"/>
        </w:rPr>
        <w:t xml:space="preserve">una crisis económica y social aparece un nuevo ciclo político e ideológico que viene, en teoría, a solucionar los problemas que la causaron e imputando a la política previa la responsabilidad de esos males sociales. Así, en nuestro subcontinente se vienen sucediendo políticas neoliberales y proteccionistas en ciclos reiterativos </w:t>
      </w:r>
      <w:r w:rsidR="0097544A" w:rsidRPr="000A2EB9">
        <w:rPr>
          <w:lang w:val="es-ES"/>
        </w:rPr>
        <w:t>y nocivos.</w:t>
      </w:r>
    </w:p>
    <w:p w14:paraId="100C2BAC" w14:textId="16EE8854" w:rsidR="0070646B" w:rsidRPr="000A2EB9" w:rsidRDefault="0070646B" w:rsidP="0007406A">
      <w:pPr>
        <w:spacing w:line="360" w:lineRule="auto"/>
        <w:jc w:val="both"/>
        <w:rPr>
          <w:lang w:val="es-ES"/>
        </w:rPr>
      </w:pPr>
      <w:r w:rsidRPr="000A2EB9">
        <w:rPr>
          <w:lang w:val="es-ES"/>
        </w:rPr>
        <w:tab/>
      </w:r>
      <w:r w:rsidRPr="000A2EB9">
        <w:rPr>
          <w:lang w:val="es-ES"/>
        </w:rPr>
        <w:tab/>
        <w:t>No escapo</w:t>
      </w:r>
      <w:r w:rsidR="0097544A" w:rsidRPr="000A2EB9">
        <w:rPr>
          <w:lang w:val="es-ES"/>
        </w:rPr>
        <w:t xml:space="preserve"> yo mismo</w:t>
      </w:r>
      <w:r w:rsidRPr="000A2EB9">
        <w:rPr>
          <w:lang w:val="es-ES"/>
        </w:rPr>
        <w:t xml:space="preserve">, en modo alguno, a esas preocupaciones y en este caso expondré </w:t>
      </w:r>
      <w:r w:rsidR="0097544A" w:rsidRPr="000A2EB9">
        <w:rPr>
          <w:lang w:val="es-ES"/>
        </w:rPr>
        <w:t>los lineamientos y tendencias marcados por la Corte Suprema de Justicia de mi país</w:t>
      </w:r>
      <w:r w:rsidRPr="000A2EB9">
        <w:rPr>
          <w:lang w:val="es-ES"/>
        </w:rPr>
        <w:t xml:space="preserve"> para formalizar el honor que se me ha concedido al designarme la Academia Iberoamericana de Derecho del Trabajo y la Seguridad Social como Miembro de Número para suceder a ese gran </w:t>
      </w:r>
      <w:r w:rsidR="00F34556" w:rsidRPr="000A2EB9">
        <w:rPr>
          <w:lang w:val="es-ES"/>
        </w:rPr>
        <w:t>jurista</w:t>
      </w:r>
      <w:r w:rsidRPr="000A2EB9">
        <w:rPr>
          <w:lang w:val="es-ES"/>
        </w:rPr>
        <w:t xml:space="preserve"> que fue don Jorge Rodríguez Mancini, que ocupó hasta su muerte el Sillón Nº 27 y a quien, con estas líneas, me permito rendir un sincero homenaje ya que no solamente fue uno de los más grandes ius laboralistas de mi país sino que siempre me admiró </w:t>
      </w:r>
      <w:r w:rsidR="00F34556" w:rsidRPr="000A2EB9">
        <w:rPr>
          <w:lang w:val="es-ES"/>
        </w:rPr>
        <w:t xml:space="preserve">el absoluto rigor de su </w:t>
      </w:r>
      <w:r w:rsidRPr="000A2EB9">
        <w:rPr>
          <w:lang w:val="es-ES"/>
        </w:rPr>
        <w:t xml:space="preserve">pensamiento jurídico. </w:t>
      </w:r>
    </w:p>
    <w:p w14:paraId="5ADEE6D3" w14:textId="6A6AD735" w:rsidR="00CF7445" w:rsidRPr="000A2EB9" w:rsidRDefault="00CF7445" w:rsidP="0007406A">
      <w:pPr>
        <w:spacing w:line="360" w:lineRule="auto"/>
        <w:jc w:val="both"/>
        <w:rPr>
          <w:lang w:val="es-ES"/>
        </w:rPr>
      </w:pPr>
      <w:r w:rsidRPr="000A2EB9">
        <w:rPr>
          <w:lang w:val="es-ES"/>
        </w:rPr>
        <w:tab/>
      </w:r>
      <w:r w:rsidRPr="000A2EB9">
        <w:rPr>
          <w:lang w:val="es-ES"/>
        </w:rPr>
        <w:tab/>
        <w:t>Deseo aclarar expresamente que procuraré reseñar el pensamiento jurídico del Máximo Tribunal de mi país en los últimos 3 lustros de un modo objetivo y absteniéndome -en algunos casos con esfuerzo- a cualquier juicio de valor, ora positivo, ora negativo.</w:t>
      </w:r>
    </w:p>
    <w:p w14:paraId="249EE660" w14:textId="3A6BF691" w:rsidR="00DE0F3E" w:rsidRPr="000A2EB9" w:rsidRDefault="0070646B" w:rsidP="0007406A">
      <w:pPr>
        <w:spacing w:line="360" w:lineRule="auto"/>
        <w:jc w:val="both"/>
        <w:rPr>
          <w:lang w:val="es-ES"/>
        </w:rPr>
      </w:pPr>
      <w:r w:rsidRPr="000A2EB9">
        <w:rPr>
          <w:lang w:val="es-ES"/>
        </w:rPr>
        <w:tab/>
      </w:r>
      <w:r w:rsidRPr="000A2EB9">
        <w:rPr>
          <w:lang w:val="es-ES"/>
        </w:rPr>
        <w:tab/>
        <w:t>La llegada del virus COVID-19, más popularmente conocido como Coronavirus, ha provocado en nuestros países una conmoción que extiende sus efectos a distintos planos de la vida social y, mientras el peligro de infección, de enfermedad y hasta de muerte impera en las calles de las ciudades en que habitamos, p</w:t>
      </w:r>
      <w:r w:rsidR="0097544A" w:rsidRPr="000A2EB9">
        <w:rPr>
          <w:lang w:val="es-ES"/>
        </w:rPr>
        <w:t xml:space="preserve">arece un </w:t>
      </w:r>
      <w:r w:rsidR="0097544A" w:rsidRPr="000A2EB9">
        <w:rPr>
          <w:lang w:val="es-ES"/>
        </w:rPr>
        <w:lastRenderedPageBreak/>
        <w:t>buen momento para p</w:t>
      </w:r>
      <w:r w:rsidRPr="000A2EB9">
        <w:rPr>
          <w:lang w:val="es-ES"/>
        </w:rPr>
        <w:t xml:space="preserve">oner en negro sobre blanco las </w:t>
      </w:r>
      <w:r w:rsidR="0097544A" w:rsidRPr="000A2EB9">
        <w:rPr>
          <w:lang w:val="es-ES"/>
        </w:rPr>
        <w:t>líneas y tendencias jurisprudenciales del Máximo Tribunal (</w:t>
      </w:r>
      <w:r w:rsidR="0097544A" w:rsidRPr="000A2EB9">
        <w:rPr>
          <w:rStyle w:val="Refdenotaalpie"/>
          <w:lang w:val="es-ES"/>
        </w:rPr>
        <w:footnoteReference w:id="1"/>
      </w:r>
      <w:r w:rsidR="0097544A" w:rsidRPr="000A2EB9">
        <w:rPr>
          <w:lang w:val="es-ES"/>
        </w:rPr>
        <w:t>) de la República Argentina</w:t>
      </w:r>
      <w:r w:rsidRPr="000A2EB9">
        <w:rPr>
          <w:lang w:val="es-ES"/>
        </w:rPr>
        <w:t xml:space="preserve"> </w:t>
      </w:r>
      <w:r w:rsidR="0097544A" w:rsidRPr="000A2EB9">
        <w:rPr>
          <w:lang w:val="es-ES"/>
        </w:rPr>
        <w:t>sentadas en nuestra disciplina desde la consolidación de su integración en 2004 (</w:t>
      </w:r>
      <w:r w:rsidR="0097544A" w:rsidRPr="000A2EB9">
        <w:rPr>
          <w:rStyle w:val="Refdenotaalpie"/>
          <w:lang w:val="es-ES"/>
        </w:rPr>
        <w:footnoteReference w:id="2"/>
      </w:r>
      <w:r w:rsidR="0097544A" w:rsidRPr="000A2EB9">
        <w:rPr>
          <w:lang w:val="es-ES"/>
        </w:rPr>
        <w:t xml:space="preserve">) y hasta estos días. </w:t>
      </w:r>
      <w:r w:rsidR="0055694C" w:rsidRPr="000A2EB9">
        <w:rPr>
          <w:lang w:val="es-ES"/>
        </w:rPr>
        <w:t>Cre</w:t>
      </w:r>
      <w:r w:rsidR="0097544A" w:rsidRPr="000A2EB9">
        <w:rPr>
          <w:lang w:val="es-ES"/>
        </w:rPr>
        <w:t xml:space="preserve">o que esta contribución constituye </w:t>
      </w:r>
      <w:r w:rsidRPr="000A2EB9">
        <w:rPr>
          <w:lang w:val="es-ES"/>
        </w:rPr>
        <w:t>un modo de repensar el mundo que se viene, un mundo que, después de esta grave pandemia, ya no será el mismo que el habitado por todos nosotros en las últimas tres décadas cuando, con el fin de la Guerra Fría y la caída del Muro de Hierro, pudimos creer libre a la Humanidad del peligro de la extinción.</w:t>
      </w:r>
    </w:p>
    <w:p w14:paraId="4C6E12F2" w14:textId="77777777" w:rsidR="00C177C4" w:rsidRPr="000A2EB9" w:rsidRDefault="00C177C4" w:rsidP="0007406A">
      <w:pPr>
        <w:spacing w:line="360" w:lineRule="auto"/>
        <w:jc w:val="both"/>
        <w:rPr>
          <w:b/>
          <w:lang w:val="es-ES"/>
        </w:rPr>
      </w:pPr>
    </w:p>
    <w:p w14:paraId="71359394" w14:textId="70E64190" w:rsidR="0055694C" w:rsidRPr="000A2EB9" w:rsidRDefault="0097544A" w:rsidP="0007406A">
      <w:pPr>
        <w:spacing w:line="360" w:lineRule="auto"/>
        <w:jc w:val="both"/>
        <w:rPr>
          <w:b/>
          <w:lang w:val="es-ES"/>
        </w:rPr>
      </w:pPr>
      <w:r w:rsidRPr="000A2EB9">
        <w:rPr>
          <w:b/>
          <w:lang w:val="es-ES"/>
        </w:rPr>
        <w:t>II.</w:t>
      </w:r>
      <w:r w:rsidR="0055694C" w:rsidRPr="000A2EB9">
        <w:rPr>
          <w:b/>
          <w:lang w:val="es-ES"/>
        </w:rPr>
        <w:t xml:space="preserve"> Descripción del sistema jurídico argentino.</w:t>
      </w:r>
    </w:p>
    <w:p w14:paraId="492E2EA8" w14:textId="5CF4A59D" w:rsidR="0055694C" w:rsidRPr="000A2EB9" w:rsidRDefault="0055694C" w:rsidP="0007406A">
      <w:pPr>
        <w:spacing w:line="360" w:lineRule="auto"/>
        <w:jc w:val="both"/>
        <w:rPr>
          <w:bCs/>
          <w:lang w:val="es-ES"/>
        </w:rPr>
      </w:pPr>
      <w:r w:rsidRPr="000A2EB9">
        <w:rPr>
          <w:bCs/>
          <w:lang w:val="es-ES"/>
        </w:rPr>
        <w:tab/>
      </w:r>
      <w:r w:rsidR="00D919D0" w:rsidRPr="000A2EB9">
        <w:rPr>
          <w:bCs/>
          <w:lang w:val="es-ES"/>
        </w:rPr>
        <w:t xml:space="preserve">La Constitución Nacional argentina </w:t>
      </w:r>
      <w:r w:rsidR="005B43D6" w:rsidRPr="000A2EB9">
        <w:rPr>
          <w:bCs/>
          <w:lang w:val="es-ES"/>
        </w:rPr>
        <w:t xml:space="preserve">de 1853, con las reformas de 1860, 1957 y 1994, </w:t>
      </w:r>
      <w:r w:rsidR="00D919D0" w:rsidRPr="000A2EB9">
        <w:rPr>
          <w:bCs/>
          <w:lang w:val="es-ES"/>
        </w:rPr>
        <w:t>regula una organización federal, compuesta, bajo la forma de república, por estados provinciales y una Ciudad Autónoma de Buenos Aires (</w:t>
      </w:r>
      <w:r w:rsidR="005B43D6" w:rsidRPr="000A2EB9">
        <w:rPr>
          <w:rStyle w:val="Refdenotaalpie"/>
          <w:bCs/>
          <w:lang w:val="es-ES"/>
        </w:rPr>
        <w:footnoteReference w:id="3"/>
      </w:r>
      <w:r w:rsidR="00D919D0" w:rsidRPr="000A2EB9">
        <w:rPr>
          <w:bCs/>
          <w:lang w:val="es-ES"/>
        </w:rPr>
        <w:t xml:space="preserve">) y cada uno de estos estados y la Ciudad Autónoma </w:t>
      </w:r>
      <w:r w:rsidR="00F34556" w:rsidRPr="000A2EB9">
        <w:rPr>
          <w:bCs/>
          <w:lang w:val="es-ES"/>
        </w:rPr>
        <w:t xml:space="preserve">dictaron </w:t>
      </w:r>
      <w:r w:rsidR="00D919D0" w:rsidRPr="000A2EB9">
        <w:rPr>
          <w:bCs/>
          <w:lang w:val="es-ES"/>
        </w:rPr>
        <w:t xml:space="preserve">sus respectivas constituciones locales, aunque deben guardar </w:t>
      </w:r>
      <w:r w:rsidR="005B43D6" w:rsidRPr="000A2EB9">
        <w:rPr>
          <w:bCs/>
          <w:lang w:val="es-ES"/>
        </w:rPr>
        <w:t>subordinación a la Constitución Nacional.</w:t>
      </w:r>
    </w:p>
    <w:p w14:paraId="11D6B833" w14:textId="77777777" w:rsidR="00F34556" w:rsidRPr="000A2EB9" w:rsidRDefault="005B43D6" w:rsidP="0007406A">
      <w:pPr>
        <w:spacing w:line="360" w:lineRule="auto"/>
        <w:jc w:val="both"/>
        <w:rPr>
          <w:bCs/>
          <w:lang w:val="es-ES"/>
        </w:rPr>
      </w:pPr>
      <w:r w:rsidRPr="000A2EB9">
        <w:rPr>
          <w:bCs/>
          <w:lang w:val="es-ES"/>
        </w:rPr>
        <w:tab/>
        <w:t xml:space="preserve">Entre 1853 y 1860 se produjo el fenómeno de la unidad nacional </w:t>
      </w:r>
      <w:r w:rsidR="00345F2E" w:rsidRPr="000A2EB9">
        <w:rPr>
          <w:bCs/>
          <w:lang w:val="es-ES"/>
        </w:rPr>
        <w:t>(</w:t>
      </w:r>
      <w:r w:rsidR="00345F2E" w:rsidRPr="000A2EB9">
        <w:rPr>
          <w:rStyle w:val="Refdenotaalpie"/>
          <w:bCs/>
          <w:lang w:val="es-ES"/>
        </w:rPr>
        <w:footnoteReference w:id="4"/>
      </w:r>
      <w:r w:rsidR="00345F2E" w:rsidRPr="000A2EB9">
        <w:rPr>
          <w:bCs/>
          <w:lang w:val="es-ES"/>
        </w:rPr>
        <w:t xml:space="preserve">) </w:t>
      </w:r>
      <w:r w:rsidRPr="000A2EB9">
        <w:rPr>
          <w:bCs/>
          <w:lang w:val="es-ES"/>
        </w:rPr>
        <w:t xml:space="preserve">y la redacción del texto constitucional siguió muy de cerca el modelo norteamericano de 1787 pero los constituyentes argentinos optaron por distanciarse de dicho modelo en cuanto a las competencias del Congreso de la Nación. </w:t>
      </w:r>
    </w:p>
    <w:p w14:paraId="6A760004" w14:textId="30824D28" w:rsidR="00C81994" w:rsidRPr="000A2EB9" w:rsidRDefault="005B43D6" w:rsidP="00F34556">
      <w:pPr>
        <w:spacing w:line="360" w:lineRule="auto"/>
        <w:ind w:firstLine="720"/>
        <w:jc w:val="both"/>
        <w:rPr>
          <w:bCs/>
          <w:lang w:val="es-ES"/>
        </w:rPr>
      </w:pPr>
      <w:r w:rsidRPr="000A2EB9">
        <w:rPr>
          <w:bCs/>
          <w:lang w:val="es-ES"/>
        </w:rPr>
        <w:t xml:space="preserve">En efecto, </w:t>
      </w:r>
      <w:r w:rsidR="00D50431" w:rsidRPr="000A2EB9">
        <w:rPr>
          <w:bCs/>
          <w:lang w:val="es-ES"/>
        </w:rPr>
        <w:t>según la constitución de los Estados Unidos de Norteamérica, cada estado dispone de la facultad de dictar sus leyes de derecho común, atribuyéndose al Congreso de ese país exclusivamente el dictado de las leyes federales, es decir</w:t>
      </w:r>
      <w:r w:rsidR="00C81994" w:rsidRPr="000A2EB9">
        <w:rPr>
          <w:bCs/>
          <w:lang w:val="es-ES"/>
        </w:rPr>
        <w:t xml:space="preserve"> las que se refieren a los diversos tópicos previstos por la Constitución, que reglamentan las atribuciones conferidas a determinados órganos con el objeto de organizar el funcionamiento de la nación como tal.</w:t>
      </w:r>
      <w:r w:rsidR="00D50431" w:rsidRPr="000A2EB9">
        <w:rPr>
          <w:bCs/>
          <w:lang w:val="es-ES"/>
        </w:rPr>
        <w:t xml:space="preserve"> </w:t>
      </w:r>
    </w:p>
    <w:p w14:paraId="5B810393" w14:textId="41E72EA8" w:rsidR="005B43D6" w:rsidRPr="000A2EB9" w:rsidRDefault="00C81994" w:rsidP="0007406A">
      <w:pPr>
        <w:spacing w:line="360" w:lineRule="auto"/>
        <w:jc w:val="both"/>
        <w:rPr>
          <w:bCs/>
          <w:lang w:val="es-ES"/>
        </w:rPr>
      </w:pPr>
      <w:r w:rsidRPr="000A2EB9">
        <w:rPr>
          <w:bCs/>
          <w:lang w:val="es-ES"/>
        </w:rPr>
        <w:t xml:space="preserve"> </w:t>
      </w:r>
      <w:r w:rsidRPr="000A2EB9">
        <w:rPr>
          <w:bCs/>
          <w:lang w:val="es-ES"/>
        </w:rPr>
        <w:tab/>
      </w:r>
      <w:r w:rsidR="00D50431" w:rsidRPr="000A2EB9">
        <w:rPr>
          <w:bCs/>
          <w:lang w:val="es-ES"/>
        </w:rPr>
        <w:t xml:space="preserve">En cambio, los padres de la Organización Nacional argentina consideraron esa diversidad normativa no era propicia para fomentar una fuerte unidad aquí, ya que los distintos pueblos que habrían de formar este país tenían antecedentes culturales y costumbres muy diversas, de modo que juzgaron </w:t>
      </w:r>
      <w:r w:rsidR="00F34556" w:rsidRPr="000A2EB9">
        <w:rPr>
          <w:bCs/>
          <w:lang w:val="es-ES"/>
        </w:rPr>
        <w:t>conveniente</w:t>
      </w:r>
      <w:r w:rsidR="00D50431" w:rsidRPr="000A2EB9">
        <w:rPr>
          <w:bCs/>
          <w:lang w:val="es-ES"/>
        </w:rPr>
        <w:t xml:space="preserve"> establecer que todos los </w:t>
      </w:r>
      <w:r w:rsidR="00D50431" w:rsidRPr="000A2EB9">
        <w:rPr>
          <w:bCs/>
          <w:lang w:val="es-ES"/>
        </w:rPr>
        <w:lastRenderedPageBreak/>
        <w:t xml:space="preserve">habitantes del territorio nacional debieran atenerse a iguales leyes civiles, comerciales, laborales, etc. </w:t>
      </w:r>
    </w:p>
    <w:p w14:paraId="1FFFF438" w14:textId="5C3BD91F" w:rsidR="00D50431" w:rsidRPr="000A2EB9" w:rsidRDefault="00D50431" w:rsidP="0007406A">
      <w:pPr>
        <w:spacing w:line="360" w:lineRule="auto"/>
        <w:jc w:val="both"/>
        <w:rPr>
          <w:bCs/>
          <w:lang w:val="es-ES"/>
        </w:rPr>
      </w:pPr>
      <w:r w:rsidRPr="000A2EB9">
        <w:rPr>
          <w:bCs/>
          <w:lang w:val="es-ES"/>
        </w:rPr>
        <w:tab/>
        <w:t>Por ende, en los pactos que dieron lugar a la Constitución Nacional argentina las provincias que habrían de componer la Unión delegaron al Congreso de la Nación la facultad de dictar los códigos de derecho común</w:t>
      </w:r>
      <w:r w:rsidR="00F34556" w:rsidRPr="000A2EB9">
        <w:rPr>
          <w:bCs/>
          <w:lang w:val="es-ES"/>
        </w:rPr>
        <w:t xml:space="preserve">, y esto </w:t>
      </w:r>
      <w:r w:rsidRPr="000A2EB9">
        <w:rPr>
          <w:bCs/>
          <w:lang w:val="es-ES"/>
        </w:rPr>
        <w:t>implica que dicho Congreso Nacional dict</w:t>
      </w:r>
      <w:r w:rsidR="00F34556" w:rsidRPr="000A2EB9">
        <w:rPr>
          <w:bCs/>
          <w:lang w:val="es-ES"/>
        </w:rPr>
        <w:t>a</w:t>
      </w:r>
      <w:r w:rsidRPr="000A2EB9">
        <w:rPr>
          <w:bCs/>
          <w:lang w:val="es-ES"/>
        </w:rPr>
        <w:t xml:space="preserve"> normas</w:t>
      </w:r>
      <w:r w:rsidR="00F34556" w:rsidRPr="000A2EB9">
        <w:rPr>
          <w:bCs/>
          <w:lang w:val="es-ES"/>
        </w:rPr>
        <w:t xml:space="preserve"> </w:t>
      </w:r>
      <w:r w:rsidRPr="000A2EB9">
        <w:rPr>
          <w:bCs/>
          <w:lang w:val="es-ES"/>
        </w:rPr>
        <w:t xml:space="preserve">de derecho común y </w:t>
      </w:r>
      <w:r w:rsidR="00F34556" w:rsidRPr="000A2EB9">
        <w:rPr>
          <w:bCs/>
          <w:lang w:val="es-ES"/>
        </w:rPr>
        <w:t xml:space="preserve">también </w:t>
      </w:r>
      <w:r w:rsidRPr="000A2EB9">
        <w:rPr>
          <w:bCs/>
          <w:lang w:val="es-ES"/>
        </w:rPr>
        <w:t xml:space="preserve">las de naturaleza federal. </w:t>
      </w:r>
    </w:p>
    <w:p w14:paraId="7C6DE4EE" w14:textId="3B7A1704" w:rsidR="0055694C" w:rsidRPr="000A2EB9" w:rsidRDefault="005736DC" w:rsidP="0007406A">
      <w:pPr>
        <w:spacing w:line="360" w:lineRule="auto"/>
        <w:jc w:val="both"/>
        <w:rPr>
          <w:bCs/>
          <w:lang w:val="es-ES"/>
        </w:rPr>
      </w:pPr>
      <w:r w:rsidRPr="000A2EB9">
        <w:rPr>
          <w:bCs/>
          <w:lang w:val="es-ES"/>
        </w:rPr>
        <w:tab/>
        <w:t xml:space="preserve">En concordancia con ese esquema de organización política, cada estado provincial y la CABA tienen reconocido un Poder Judicial local, organizado según sus propias leyes locales. La Nación, por su parte, dispone de tribunales nacionales (con asiento en la Ciudad Capital, como ya dije) para interpretar y aplicar el derecho común y </w:t>
      </w:r>
      <w:r w:rsidR="00F34556" w:rsidRPr="000A2EB9">
        <w:rPr>
          <w:bCs/>
          <w:lang w:val="es-ES"/>
        </w:rPr>
        <w:t xml:space="preserve">asimismo </w:t>
      </w:r>
      <w:r w:rsidRPr="000A2EB9">
        <w:rPr>
          <w:bCs/>
          <w:lang w:val="es-ES"/>
        </w:rPr>
        <w:t xml:space="preserve">tribunales federales desplegados por todo el territorio nacional y que están destinados a interpretar y aplicar las normas federales. </w:t>
      </w:r>
    </w:p>
    <w:p w14:paraId="226C4223" w14:textId="15C8EAF8" w:rsidR="005736DC" w:rsidRPr="000A2EB9" w:rsidRDefault="005736DC" w:rsidP="0007406A">
      <w:pPr>
        <w:spacing w:line="360" w:lineRule="auto"/>
        <w:jc w:val="both"/>
        <w:rPr>
          <w:bCs/>
          <w:lang w:val="es-ES"/>
        </w:rPr>
      </w:pPr>
      <w:r w:rsidRPr="000A2EB9">
        <w:rPr>
          <w:bCs/>
          <w:lang w:val="es-ES"/>
        </w:rPr>
        <w:tab/>
        <w:t>Además, la Nación tiene establecida en la propia Constitución Nacional una Corte Suprema de Justicia que es la más alta autoridad judicial del país y que sólo interviene en las causas de naturaleza federal (</w:t>
      </w:r>
      <w:r w:rsidR="000C0B0B" w:rsidRPr="000A2EB9">
        <w:rPr>
          <w:rStyle w:val="Refdenotaalpie"/>
          <w:bCs/>
          <w:lang w:val="es-ES"/>
        </w:rPr>
        <w:footnoteReference w:id="5"/>
      </w:r>
      <w:r w:rsidRPr="000A2EB9">
        <w:rPr>
          <w:bCs/>
          <w:lang w:val="es-ES"/>
        </w:rPr>
        <w:t>)</w:t>
      </w:r>
      <w:r w:rsidR="000C0B0B" w:rsidRPr="000A2EB9">
        <w:rPr>
          <w:bCs/>
          <w:lang w:val="es-ES"/>
        </w:rPr>
        <w:t>, teniendo a su cargo el control final de constitucionalidad de las normas -lo que constituye una cuestión federal- mediante un recurso denominado “extraordinario” contra las decisiones de los tribunales inferiores, incluyéndose en este concepto los superiores tribunales provinciales y de la CABA.</w:t>
      </w:r>
    </w:p>
    <w:p w14:paraId="57EAEFFA" w14:textId="652FFF9A" w:rsidR="0019507E" w:rsidRPr="000A2EB9" w:rsidRDefault="0019507E" w:rsidP="0007406A">
      <w:pPr>
        <w:spacing w:line="360" w:lineRule="auto"/>
        <w:jc w:val="both"/>
        <w:rPr>
          <w:bCs/>
          <w:lang w:val="es-ES"/>
        </w:rPr>
      </w:pPr>
      <w:r w:rsidRPr="000A2EB9">
        <w:rPr>
          <w:bCs/>
          <w:lang w:val="es-ES"/>
        </w:rPr>
        <w:tab/>
        <w:t>La Corte Suprema en su conformación original, según la Constitución de 1853, estaba integrada por 9 jueces; en 1860, cuando se produjo la Unidad Nacional con la incorporación de la Provincia de Buenos Aires a la Federación, se redujo ese número a 5; en 1960 se elevó la composición a 7 magistrados</w:t>
      </w:r>
      <w:r w:rsidR="0057015B" w:rsidRPr="000A2EB9">
        <w:rPr>
          <w:bCs/>
          <w:lang w:val="es-ES"/>
        </w:rPr>
        <w:t>. En 1966 se volvió al número de 5 vocales y en 1990, por la ley 23.774, se llevó la composición a 9 miembros y en el año 2006, por la ley 26.183, se decidió que las vacantes que se fuesen produciendo no serían cubiertas a fin de llegar nuevamente al número tradicional de 5 magistrados.</w:t>
      </w:r>
    </w:p>
    <w:p w14:paraId="50377F5D" w14:textId="77777777" w:rsidR="00F04D2A" w:rsidRPr="000A2EB9" w:rsidRDefault="005736DC" w:rsidP="0007406A">
      <w:pPr>
        <w:spacing w:line="360" w:lineRule="auto"/>
        <w:jc w:val="both"/>
        <w:rPr>
          <w:bCs/>
          <w:lang w:val="es-ES"/>
        </w:rPr>
      </w:pPr>
      <w:r w:rsidRPr="000A2EB9">
        <w:rPr>
          <w:bCs/>
          <w:lang w:val="es-ES"/>
        </w:rPr>
        <w:lastRenderedPageBreak/>
        <w:tab/>
        <w:t xml:space="preserve">De esto se sigue que dicha Corte Suprema no está facultada para entender en causas en las que sólo esté en discusión legislación común. Sin embargo, </w:t>
      </w:r>
      <w:r w:rsidR="000C0B0B" w:rsidRPr="000A2EB9">
        <w:rPr>
          <w:bCs/>
          <w:lang w:val="es-ES"/>
        </w:rPr>
        <w:t xml:space="preserve">ese Tribunal Federal ha desarrollado una doctrina pretorianamente que le permite, a su propia discrecionalidad, habilitar su intervención por la vía del “recurso extraordinario” cuando considera que las decisiones cuestionadas no respetan el debido proceso judicial que está garantizado en el art. 18 de la Constitución Nacional. </w:t>
      </w:r>
    </w:p>
    <w:p w14:paraId="63B86C06" w14:textId="46FD533E" w:rsidR="000C0B0B" w:rsidRPr="000A2EB9" w:rsidRDefault="00F04D2A" w:rsidP="0007406A">
      <w:pPr>
        <w:spacing w:line="360" w:lineRule="auto"/>
        <w:jc w:val="both"/>
        <w:rPr>
          <w:bCs/>
          <w:lang w:val="es-ES"/>
        </w:rPr>
      </w:pPr>
      <w:r w:rsidRPr="000A2EB9">
        <w:rPr>
          <w:bCs/>
          <w:lang w:val="es-ES"/>
        </w:rPr>
        <w:t xml:space="preserve"> </w:t>
      </w:r>
      <w:r w:rsidRPr="000A2EB9">
        <w:rPr>
          <w:bCs/>
          <w:lang w:val="es-ES"/>
        </w:rPr>
        <w:tab/>
      </w:r>
      <w:r w:rsidR="000C0B0B" w:rsidRPr="000A2EB9">
        <w:rPr>
          <w:bCs/>
          <w:lang w:val="es-ES"/>
        </w:rPr>
        <w:t>En tales supuestos, cuando el Alto Tribunal considera que la sentencia cuestionada violó las reglas de tal garantía, puede declarar “arbitraria” a dicha decisión cuestionada y mandar dictar una nueva. En esas hipótesis, como regla, el Máximo Tribunal argentino no indica cómo debe interpretarse o aplicarse el derecho común en juego en tales decisiones, aunque, en los hechos, su intervención suele ser muy indicativa del modo en que pretende que efectivamente sean entendidas y aplicadas.</w:t>
      </w:r>
      <w:r w:rsidR="00A4316E" w:rsidRPr="000A2EB9">
        <w:rPr>
          <w:bCs/>
          <w:lang w:val="es-ES"/>
        </w:rPr>
        <w:t xml:space="preserve"> </w:t>
      </w:r>
    </w:p>
    <w:p w14:paraId="7EC8E80A" w14:textId="0D8B2467" w:rsidR="005736DC" w:rsidRPr="000A2EB9" w:rsidRDefault="000C0B0B" w:rsidP="0007406A">
      <w:pPr>
        <w:spacing w:line="360" w:lineRule="auto"/>
        <w:jc w:val="both"/>
        <w:rPr>
          <w:bCs/>
          <w:lang w:val="es-ES"/>
        </w:rPr>
      </w:pPr>
      <w:r w:rsidRPr="000A2EB9">
        <w:rPr>
          <w:bCs/>
          <w:lang w:val="es-ES"/>
        </w:rPr>
        <w:tab/>
        <w:t>Por esta vía la Corte Suprema ha ingresado en numerosas oportunidades en la interpretación tanto de normas de Derecho del Trabajo como de leyes del Derecho de la Seguridad Social.</w:t>
      </w:r>
      <w:r w:rsidR="00C81994" w:rsidRPr="000A2EB9">
        <w:rPr>
          <w:bCs/>
          <w:lang w:val="es-ES"/>
        </w:rPr>
        <w:t xml:space="preserve"> </w:t>
      </w:r>
    </w:p>
    <w:p w14:paraId="21B2EDD0" w14:textId="0C35409F" w:rsidR="00F04D2A" w:rsidRPr="000A2EB9" w:rsidRDefault="00F04D2A" w:rsidP="0007406A">
      <w:pPr>
        <w:spacing w:line="360" w:lineRule="auto"/>
        <w:jc w:val="both"/>
        <w:rPr>
          <w:bCs/>
          <w:lang w:val="es-ES"/>
        </w:rPr>
      </w:pPr>
      <w:r w:rsidRPr="000A2EB9">
        <w:rPr>
          <w:bCs/>
          <w:lang w:val="es-ES"/>
        </w:rPr>
        <w:tab/>
        <w:t>Si bien ni la Constitución Nacional ni las leyes han otorgado carácter casatorio a las decisiones del Máximo Tribunal, hay consenso en que, siendo éste el intérprete natural y último de la Carta Magna, hay un deber moral de todos los tribunales inferiores de acatar las decisiones en ese campo. De hecho, la propia Corte Suprema ha resuelto reiteradamente que carecen de fundamento válido las sentencias de los tribunales de otras instancias que se apartan de sus precedentes sin aportar nuevos argumentos que justifiquen modificar la posición sentada por el Tribunal, en su carácter de intérprete supremo de la Constitución Nacional y de las leyes dictadas en su consecuencia.</w:t>
      </w:r>
    </w:p>
    <w:p w14:paraId="14B6C14D" w14:textId="0D564BD1" w:rsidR="00A70307" w:rsidRPr="000A2EB9" w:rsidRDefault="00A70307" w:rsidP="0007406A">
      <w:pPr>
        <w:spacing w:line="360" w:lineRule="auto"/>
        <w:jc w:val="both"/>
        <w:rPr>
          <w:bCs/>
          <w:lang w:val="es-ES"/>
        </w:rPr>
      </w:pPr>
      <w:r w:rsidRPr="000A2EB9">
        <w:rPr>
          <w:bCs/>
          <w:lang w:val="es-ES"/>
        </w:rPr>
        <w:tab/>
      </w:r>
      <w:r w:rsidR="00F04D2A" w:rsidRPr="000A2EB9">
        <w:rPr>
          <w:bCs/>
          <w:lang w:val="es-ES"/>
        </w:rPr>
        <w:t>Ahora bien, m</w:t>
      </w:r>
      <w:r w:rsidRPr="000A2EB9">
        <w:rPr>
          <w:bCs/>
          <w:lang w:val="es-ES"/>
        </w:rPr>
        <w:t>e parece conveniente hacer una aclaración terminológica antes de entrar en los temas que pretendo exponer ya que en la doctrina no hay consenso. Estoy aludiendo a la forma en que el derecho laboral protege la estabilidad en el empleo y aviso que utilizaré la expresión “estabilidad propia” para referirme a los casos en que la ley garantiza la fuerza de tal estabilidad con el derecho exigible a la reincorporación del trabajador, pese a que prefiero denominarla “estabilidad absoluta”; en cambio usaré el concepto de “estabilidad impropia”, para aludir a aquella protección menos intensa, que no garantiza el derecho al mantenimiento del contrato</w:t>
      </w:r>
      <w:r w:rsidR="00DE22BD" w:rsidRPr="000A2EB9">
        <w:rPr>
          <w:bCs/>
          <w:lang w:val="es-ES"/>
        </w:rPr>
        <w:t xml:space="preserve"> y que se resuelve con el pago de una suma de dinero. Usaré esas dos expresiones, pese a no ser las que me parecen más apropiadas, para unificar conceptos según las expresiones de la Corte Suprema argentina y para ahorrar dudas a los lectores.</w:t>
      </w:r>
    </w:p>
    <w:p w14:paraId="7F39DCB7" w14:textId="77777777" w:rsidR="00F04D2A" w:rsidRPr="000A2EB9" w:rsidRDefault="000C0B0B" w:rsidP="0007406A">
      <w:pPr>
        <w:spacing w:line="360" w:lineRule="auto"/>
        <w:jc w:val="both"/>
        <w:rPr>
          <w:bCs/>
          <w:lang w:val="es-ES"/>
        </w:rPr>
      </w:pPr>
      <w:r w:rsidRPr="000A2EB9">
        <w:rPr>
          <w:bCs/>
          <w:lang w:val="es-ES"/>
        </w:rPr>
        <w:tab/>
        <w:t xml:space="preserve">Hechas estas aclaraciones, expondré un repaso </w:t>
      </w:r>
      <w:r w:rsidR="004F6ECA" w:rsidRPr="000A2EB9">
        <w:rPr>
          <w:bCs/>
          <w:lang w:val="es-ES"/>
        </w:rPr>
        <w:t xml:space="preserve">de las más relevantes decisiones dictadas por la Corte Suprema de Justicia de la República Argentina en </w:t>
      </w:r>
      <w:r w:rsidR="00F04D2A" w:rsidRPr="000A2EB9">
        <w:rPr>
          <w:bCs/>
          <w:lang w:val="es-ES"/>
        </w:rPr>
        <w:t>algunos de los</w:t>
      </w:r>
      <w:r w:rsidR="004F6ECA" w:rsidRPr="000A2EB9">
        <w:rPr>
          <w:bCs/>
          <w:lang w:val="es-ES"/>
        </w:rPr>
        <w:t xml:space="preserve"> temas más relevantes y esenciales </w:t>
      </w:r>
      <w:r w:rsidR="00A4316E" w:rsidRPr="000A2EB9">
        <w:rPr>
          <w:bCs/>
          <w:lang w:val="es-ES"/>
        </w:rPr>
        <w:t>de</w:t>
      </w:r>
      <w:r w:rsidR="00C81994" w:rsidRPr="000A2EB9">
        <w:rPr>
          <w:bCs/>
          <w:lang w:val="es-ES"/>
        </w:rPr>
        <w:t xml:space="preserve">l Derecho del Trabajo </w:t>
      </w:r>
      <w:r w:rsidR="004F6ECA" w:rsidRPr="000A2EB9">
        <w:rPr>
          <w:bCs/>
          <w:lang w:val="es-ES"/>
        </w:rPr>
        <w:t xml:space="preserve">y </w:t>
      </w:r>
      <w:r w:rsidR="00A4316E" w:rsidRPr="000A2EB9">
        <w:rPr>
          <w:bCs/>
          <w:lang w:val="es-ES"/>
        </w:rPr>
        <w:t>en l</w:t>
      </w:r>
      <w:r w:rsidR="00C81994" w:rsidRPr="000A2EB9">
        <w:rPr>
          <w:bCs/>
          <w:lang w:val="es-ES"/>
        </w:rPr>
        <w:t>o</w:t>
      </w:r>
      <w:r w:rsidR="00A4316E" w:rsidRPr="000A2EB9">
        <w:rPr>
          <w:bCs/>
          <w:lang w:val="es-ES"/>
        </w:rPr>
        <w:t>s que ha intervenido gracias a su creación, la doctrina de la sentencia arbitraria</w:t>
      </w:r>
      <w:r w:rsidR="004F6ECA" w:rsidRPr="000A2EB9">
        <w:rPr>
          <w:bCs/>
          <w:lang w:val="es-ES"/>
        </w:rPr>
        <w:t xml:space="preserve"> (</w:t>
      </w:r>
      <w:r w:rsidR="004F6ECA" w:rsidRPr="000A2EB9">
        <w:rPr>
          <w:rStyle w:val="Refdenotaalpie"/>
          <w:bCs/>
          <w:lang w:val="es-ES"/>
        </w:rPr>
        <w:footnoteReference w:id="6"/>
      </w:r>
      <w:r w:rsidR="004F6ECA" w:rsidRPr="000A2EB9">
        <w:rPr>
          <w:bCs/>
          <w:lang w:val="es-ES"/>
        </w:rPr>
        <w:t>)</w:t>
      </w:r>
      <w:r w:rsidR="00A4316E" w:rsidRPr="000A2EB9">
        <w:rPr>
          <w:bCs/>
          <w:lang w:val="es-ES"/>
        </w:rPr>
        <w:t>.</w:t>
      </w:r>
      <w:r w:rsidR="004F6ECA" w:rsidRPr="000A2EB9">
        <w:rPr>
          <w:bCs/>
          <w:lang w:val="es-ES"/>
        </w:rPr>
        <w:t xml:space="preserve"> </w:t>
      </w:r>
    </w:p>
    <w:p w14:paraId="2AE7930E" w14:textId="5CEBE631" w:rsidR="000C0B0B" w:rsidRPr="000A2EB9" w:rsidRDefault="00F04D2A" w:rsidP="0007406A">
      <w:pPr>
        <w:spacing w:line="360" w:lineRule="auto"/>
        <w:jc w:val="both"/>
        <w:rPr>
          <w:bCs/>
          <w:lang w:val="es-ES"/>
        </w:rPr>
      </w:pPr>
      <w:r w:rsidRPr="000A2EB9">
        <w:rPr>
          <w:bCs/>
          <w:lang w:val="es-ES"/>
        </w:rPr>
        <w:lastRenderedPageBreak/>
        <w:t xml:space="preserve"> </w:t>
      </w:r>
      <w:r w:rsidRPr="000A2EB9">
        <w:rPr>
          <w:bCs/>
          <w:lang w:val="es-ES"/>
        </w:rPr>
        <w:tab/>
      </w:r>
      <w:r w:rsidR="004F6ECA" w:rsidRPr="000A2EB9">
        <w:rPr>
          <w:bCs/>
          <w:lang w:val="es-ES"/>
        </w:rPr>
        <w:t xml:space="preserve">Razones de espacio y oportunidad me han llevado a </w:t>
      </w:r>
      <w:r w:rsidRPr="000A2EB9">
        <w:rPr>
          <w:bCs/>
          <w:lang w:val="es-ES"/>
        </w:rPr>
        <w:t xml:space="preserve">realizar una </w:t>
      </w:r>
      <w:r w:rsidR="004F6ECA" w:rsidRPr="000A2EB9">
        <w:rPr>
          <w:bCs/>
          <w:lang w:val="es-ES"/>
        </w:rPr>
        <w:t>selecci</w:t>
      </w:r>
      <w:r w:rsidRPr="000A2EB9">
        <w:rPr>
          <w:bCs/>
          <w:lang w:val="es-ES"/>
        </w:rPr>
        <w:t xml:space="preserve">ón </w:t>
      </w:r>
      <w:r w:rsidR="004F6ECA" w:rsidRPr="000A2EB9">
        <w:rPr>
          <w:bCs/>
          <w:lang w:val="es-ES"/>
        </w:rPr>
        <w:t xml:space="preserve"> para exponer en este trabajo exclusivamente algunos temas que, por su esencia, hacen al núcleo del Derecho del Trabajo, tanto en su faz individual como en la colectiva</w:t>
      </w:r>
      <w:r w:rsidRPr="000A2EB9">
        <w:rPr>
          <w:bCs/>
          <w:lang w:val="es-ES"/>
        </w:rPr>
        <w:t xml:space="preserve"> y debo dejar dicho que, s</w:t>
      </w:r>
      <w:r w:rsidR="00C81994" w:rsidRPr="000A2EB9">
        <w:rPr>
          <w:bCs/>
          <w:lang w:val="es-ES"/>
        </w:rPr>
        <w:t xml:space="preserve">i bien las decisiones que el Supremo Tribunal argentino ha dictado en materia de Derecho de la Seguridad Social son también de enorme trascendencia en los últimos 15 años, por razones de espacio me limitaré, en esta ocasión, a pasar </w:t>
      </w:r>
      <w:r w:rsidR="004F6ECA" w:rsidRPr="000A2EB9">
        <w:rPr>
          <w:bCs/>
          <w:lang w:val="es-ES"/>
        </w:rPr>
        <w:t xml:space="preserve">incluir exclusivamente </w:t>
      </w:r>
      <w:r w:rsidR="00C81994" w:rsidRPr="000A2EB9">
        <w:rPr>
          <w:bCs/>
          <w:lang w:val="es-ES"/>
        </w:rPr>
        <w:t>decisiones atinentes al Derecho Laboral</w:t>
      </w:r>
      <w:r w:rsidR="004F6ECA" w:rsidRPr="000A2EB9">
        <w:rPr>
          <w:bCs/>
          <w:lang w:val="es-ES"/>
        </w:rPr>
        <w:t>.</w:t>
      </w:r>
    </w:p>
    <w:p w14:paraId="60EAD9A3" w14:textId="18E2B721" w:rsidR="00F04D2A" w:rsidRPr="000A2EB9" w:rsidRDefault="00F04D2A" w:rsidP="0007406A">
      <w:pPr>
        <w:spacing w:line="360" w:lineRule="auto"/>
        <w:jc w:val="both"/>
        <w:rPr>
          <w:bCs/>
          <w:lang w:val="es-ES"/>
        </w:rPr>
      </w:pPr>
      <w:r w:rsidRPr="000A2EB9">
        <w:rPr>
          <w:bCs/>
          <w:lang w:val="es-ES"/>
        </w:rPr>
        <w:tab/>
        <w:t>Quiero explicitar la razón por la que, como regla para este trabajo, he tomado 2004 como punto de partida.</w:t>
      </w:r>
    </w:p>
    <w:p w14:paraId="4C982961" w14:textId="38F823E1" w:rsidR="00F04D2A" w:rsidRPr="000A2EB9" w:rsidRDefault="00F04D2A" w:rsidP="0007406A">
      <w:pPr>
        <w:spacing w:line="360" w:lineRule="auto"/>
        <w:jc w:val="both"/>
        <w:rPr>
          <w:bCs/>
          <w:lang w:val="es-ES"/>
        </w:rPr>
      </w:pPr>
      <w:r w:rsidRPr="000A2EB9">
        <w:rPr>
          <w:bCs/>
          <w:lang w:val="es-ES"/>
        </w:rPr>
        <w:tab/>
        <w:t>Como señalé más arriba, la ley 23.774 llevó el número de miembros del Alto Tribunal de 5 a 9 pero esa decisión política fue acompañada de un hecho metajurídico como fue que el entonces titular del Poder Ejecutivo Nacional postuló y consiguió la designación de jueces en general afines no sólo a sus ideas neoliberales sino, más aún, a su persona (</w:t>
      </w:r>
      <w:r w:rsidRPr="000A2EB9">
        <w:rPr>
          <w:rStyle w:val="Refdenotaalpie"/>
          <w:bCs/>
          <w:lang w:val="es-ES"/>
        </w:rPr>
        <w:footnoteReference w:id="7"/>
      </w:r>
      <w:r w:rsidRPr="000A2EB9">
        <w:rPr>
          <w:bCs/>
          <w:lang w:val="es-ES"/>
        </w:rPr>
        <w:t>)</w:t>
      </w:r>
      <w:r w:rsidR="003E2BEF" w:rsidRPr="000A2EB9">
        <w:rPr>
          <w:bCs/>
          <w:lang w:val="es-ES"/>
        </w:rPr>
        <w:t>.</w:t>
      </w:r>
    </w:p>
    <w:p w14:paraId="228540F0" w14:textId="12E9126D" w:rsidR="003E2BEF" w:rsidRPr="000A2EB9" w:rsidRDefault="003E2BEF" w:rsidP="0007406A">
      <w:pPr>
        <w:spacing w:line="360" w:lineRule="auto"/>
        <w:jc w:val="both"/>
        <w:rPr>
          <w:bCs/>
          <w:lang w:val="es-ES"/>
        </w:rPr>
      </w:pPr>
      <w:r w:rsidRPr="000A2EB9">
        <w:rPr>
          <w:bCs/>
          <w:lang w:val="es-ES"/>
        </w:rPr>
        <w:tab/>
        <w:t>La suma de ambas circunstancias provocó que rápidamente se advirtiera por los operadores jurídicos e incluso por el periodismo que en la Corte Suprema se había configurado una “mayoría automática” casi siempre dispuesta a avalar las decisiones reformistas del titular del PEN.</w:t>
      </w:r>
    </w:p>
    <w:p w14:paraId="127488F6" w14:textId="0222D312" w:rsidR="003E2BEF" w:rsidRPr="000A2EB9" w:rsidRDefault="003E2BEF" w:rsidP="0007406A">
      <w:pPr>
        <w:spacing w:line="360" w:lineRule="auto"/>
        <w:jc w:val="both"/>
        <w:rPr>
          <w:bCs/>
          <w:lang w:val="es-ES"/>
        </w:rPr>
      </w:pPr>
      <w:r w:rsidRPr="000A2EB9">
        <w:rPr>
          <w:bCs/>
          <w:lang w:val="es-ES"/>
        </w:rPr>
        <w:tab/>
        <w:t>Cuando en el año 2003, tras la profunda crisis política, económica y social de fines de 2001 y principios del 2002, fue electo un nuevo gobierno de claro cariz proteccionista, el nuevo Presidente inició una fuerte campaña para renovar la composición del Máximo Tribunal de Justicia y lo consiguió, en algunos casos mediante juicios políticos, en otras con renuncias y hasta con un fallecimiento.</w:t>
      </w:r>
    </w:p>
    <w:p w14:paraId="0D0800F4" w14:textId="183015BF" w:rsidR="003E2BEF" w:rsidRPr="000A2EB9" w:rsidRDefault="003E2BEF" w:rsidP="0007406A">
      <w:pPr>
        <w:spacing w:line="360" w:lineRule="auto"/>
        <w:jc w:val="both"/>
        <w:rPr>
          <w:bCs/>
          <w:lang w:val="es-ES"/>
        </w:rPr>
      </w:pPr>
      <w:r w:rsidRPr="000A2EB9">
        <w:rPr>
          <w:bCs/>
          <w:lang w:val="es-ES"/>
        </w:rPr>
        <w:tab/>
        <w:t>Como consecuencia de esa renovación, se constituyó una nueva integración que, más allá de gozar de un prestigio académico que no todos los integrantes de aquella cuestionada “mayoría automática” podían alegar, pronto mostraron una gran solvencia jurídica en sus votos  -muchos de los cuales serán parcialmente expuestos en este breve trabajo- así como también evidenciaron, en general, su independencia.</w:t>
      </w:r>
    </w:p>
    <w:p w14:paraId="07BEEF98" w14:textId="3D1C9308" w:rsidR="003E2BEF" w:rsidRPr="000A2EB9" w:rsidRDefault="003E2BEF" w:rsidP="0007406A">
      <w:pPr>
        <w:spacing w:line="360" w:lineRule="auto"/>
        <w:jc w:val="both"/>
        <w:rPr>
          <w:bCs/>
          <w:lang w:val="es-ES"/>
        </w:rPr>
      </w:pPr>
      <w:r w:rsidRPr="000A2EB9">
        <w:rPr>
          <w:bCs/>
          <w:lang w:val="es-ES"/>
        </w:rPr>
        <w:tab/>
        <w:t>En materia de Derecho Social, es decir en temas de Derecho del Trabajo y en los de la Seguridad Social, la nueva conformación de la Corte Suprema dictó fallos fundamentales que pusieron límites constitucionales a normas propias de la concepción neoliberal que había gobernado desde 1989 y hasta finales del año 2001 que avanzaban sobre garantías constitucionales explícitas.</w:t>
      </w:r>
    </w:p>
    <w:p w14:paraId="0C4175FF" w14:textId="78659E87" w:rsidR="003E2BEF" w:rsidRPr="000A2EB9" w:rsidRDefault="003E2BEF" w:rsidP="0007406A">
      <w:pPr>
        <w:spacing w:line="360" w:lineRule="auto"/>
        <w:jc w:val="both"/>
        <w:rPr>
          <w:bCs/>
          <w:lang w:val="es-ES"/>
        </w:rPr>
      </w:pPr>
      <w:r w:rsidRPr="000A2EB9">
        <w:rPr>
          <w:bCs/>
          <w:lang w:val="es-ES"/>
        </w:rPr>
        <w:lastRenderedPageBreak/>
        <w:tab/>
        <w:t>Por esa razón histórica, este trabajo intenta describir para los colegas de la Academia Iberoamericana los grandes principios y lineamientos rescatados por señeros fallos de dicho Alto Tribunal argentino desde el año 2004 hasta principios de 2020.</w:t>
      </w:r>
    </w:p>
    <w:p w14:paraId="782DFDFE" w14:textId="77777777" w:rsidR="00C177C4" w:rsidRPr="000A2EB9" w:rsidRDefault="00C177C4" w:rsidP="0007406A">
      <w:pPr>
        <w:spacing w:line="360" w:lineRule="auto"/>
        <w:jc w:val="both"/>
        <w:rPr>
          <w:b/>
          <w:lang w:val="es-ES"/>
        </w:rPr>
      </w:pPr>
    </w:p>
    <w:p w14:paraId="36438B82" w14:textId="35D99B77" w:rsidR="0097544A" w:rsidRPr="000A2EB9" w:rsidRDefault="00C81994" w:rsidP="0007406A">
      <w:pPr>
        <w:spacing w:line="360" w:lineRule="auto"/>
        <w:jc w:val="both"/>
        <w:rPr>
          <w:b/>
          <w:lang w:val="es-ES"/>
        </w:rPr>
      </w:pPr>
      <w:r w:rsidRPr="000A2EB9">
        <w:rPr>
          <w:b/>
          <w:lang w:val="es-ES"/>
        </w:rPr>
        <w:t>III. Los temas a desarrollar.</w:t>
      </w:r>
    </w:p>
    <w:p w14:paraId="47B3613F" w14:textId="1D62D2C0" w:rsidR="00C81994" w:rsidRPr="000A2EB9" w:rsidRDefault="003E2BEF" w:rsidP="0007406A">
      <w:pPr>
        <w:spacing w:line="360" w:lineRule="auto"/>
        <w:jc w:val="both"/>
        <w:rPr>
          <w:bCs/>
          <w:lang w:val="es-ES"/>
        </w:rPr>
      </w:pPr>
      <w:r w:rsidRPr="000A2EB9">
        <w:rPr>
          <w:bCs/>
          <w:lang w:val="es-ES"/>
        </w:rPr>
        <w:t xml:space="preserve"> </w:t>
      </w:r>
      <w:r w:rsidRPr="000A2EB9">
        <w:rPr>
          <w:bCs/>
          <w:lang w:val="es-ES"/>
        </w:rPr>
        <w:tab/>
        <w:t xml:space="preserve">En la preanunciada reseña </w:t>
      </w:r>
      <w:r w:rsidR="002B4A19" w:rsidRPr="000A2EB9">
        <w:rPr>
          <w:bCs/>
          <w:lang w:val="es-ES"/>
        </w:rPr>
        <w:t xml:space="preserve">incluiré temas propios del </w:t>
      </w:r>
      <w:r w:rsidR="00C81994" w:rsidRPr="000A2EB9">
        <w:rPr>
          <w:bCs/>
          <w:lang w:val="es-ES"/>
        </w:rPr>
        <w:t>Derecho colectivo</w:t>
      </w:r>
      <w:r w:rsidR="002B4A19" w:rsidRPr="000A2EB9">
        <w:rPr>
          <w:bCs/>
          <w:lang w:val="es-ES"/>
        </w:rPr>
        <w:t xml:space="preserve"> e individual del trabajo y temas relativos al </w:t>
      </w:r>
      <w:r w:rsidR="00C81994" w:rsidRPr="000A2EB9">
        <w:rPr>
          <w:bCs/>
          <w:lang w:val="es-ES"/>
        </w:rPr>
        <w:t>empleo público</w:t>
      </w:r>
      <w:r w:rsidR="002B4A19" w:rsidRPr="000A2EB9">
        <w:rPr>
          <w:bCs/>
          <w:lang w:val="es-ES"/>
        </w:rPr>
        <w:t xml:space="preserve"> que, como luego se verá, la propia Corte Suprema ha declarado beneficiario de los principios del Derecho del Trabajo, rompiendo la tradición argentina de desplazar ese segmento del trabajo humano subordinado al dominio del Derecho Administrativo (</w:t>
      </w:r>
      <w:r w:rsidR="002B4A19" w:rsidRPr="000A2EB9">
        <w:rPr>
          <w:rStyle w:val="Refdenotaalpie"/>
          <w:bCs/>
          <w:lang w:val="es-ES"/>
        </w:rPr>
        <w:footnoteReference w:id="8"/>
      </w:r>
      <w:r w:rsidR="002B4A19" w:rsidRPr="000A2EB9">
        <w:rPr>
          <w:bCs/>
          <w:lang w:val="es-ES"/>
        </w:rPr>
        <w:t>).</w:t>
      </w:r>
    </w:p>
    <w:p w14:paraId="16F18281" w14:textId="16D22B91" w:rsidR="00C81994" w:rsidRPr="000A2EB9" w:rsidRDefault="00C81994" w:rsidP="0007406A">
      <w:pPr>
        <w:spacing w:line="360" w:lineRule="auto"/>
        <w:jc w:val="both"/>
        <w:rPr>
          <w:bCs/>
          <w:lang w:val="es-ES"/>
        </w:rPr>
      </w:pPr>
      <w:r w:rsidRPr="000A2EB9">
        <w:rPr>
          <w:b/>
          <w:lang w:val="es-ES"/>
        </w:rPr>
        <w:tab/>
      </w:r>
      <w:r w:rsidRPr="000A2EB9">
        <w:rPr>
          <w:bCs/>
          <w:lang w:val="es-ES"/>
        </w:rPr>
        <w:t xml:space="preserve">Advierto a los </w:t>
      </w:r>
      <w:r w:rsidR="002D554E" w:rsidRPr="000A2EB9">
        <w:rPr>
          <w:bCs/>
          <w:lang w:val="es-ES"/>
        </w:rPr>
        <w:t xml:space="preserve">colegas </w:t>
      </w:r>
      <w:r w:rsidRPr="000A2EB9">
        <w:rPr>
          <w:bCs/>
          <w:lang w:val="es-ES"/>
        </w:rPr>
        <w:t>lectores que no me serviré de un orden cronológico sino que articularé la temática e</w:t>
      </w:r>
      <w:r w:rsidR="002B4A19" w:rsidRPr="000A2EB9">
        <w:rPr>
          <w:bCs/>
          <w:lang w:val="es-ES"/>
        </w:rPr>
        <w:t xml:space="preserve">sos </w:t>
      </w:r>
      <w:r w:rsidRPr="000A2EB9">
        <w:rPr>
          <w:bCs/>
          <w:lang w:val="es-ES"/>
        </w:rPr>
        <w:t xml:space="preserve">3 grandes </w:t>
      </w:r>
      <w:r w:rsidR="002B4A19" w:rsidRPr="000A2EB9">
        <w:rPr>
          <w:bCs/>
          <w:lang w:val="es-ES"/>
        </w:rPr>
        <w:t xml:space="preserve">ejes temáticos privilegiando cierta lógica expositiva. </w:t>
      </w:r>
    </w:p>
    <w:p w14:paraId="21ABE931" w14:textId="77777777" w:rsidR="00C177C4" w:rsidRPr="000A2EB9" w:rsidRDefault="00C177C4" w:rsidP="0007406A">
      <w:pPr>
        <w:spacing w:line="360" w:lineRule="auto"/>
        <w:jc w:val="both"/>
        <w:rPr>
          <w:b/>
          <w:lang w:val="es-ES"/>
        </w:rPr>
      </w:pPr>
    </w:p>
    <w:p w14:paraId="0BCB30AF" w14:textId="1775EA58" w:rsidR="002F5665" w:rsidRPr="000A2EB9" w:rsidRDefault="002F5665" w:rsidP="00C177C4">
      <w:pPr>
        <w:spacing w:line="360" w:lineRule="auto"/>
        <w:ind w:left="720" w:firstLine="720"/>
        <w:jc w:val="both"/>
        <w:rPr>
          <w:bCs/>
          <w:lang w:val="es-ES"/>
        </w:rPr>
      </w:pPr>
      <w:r w:rsidRPr="000A2EB9">
        <w:rPr>
          <w:b/>
          <w:lang w:val="es-ES"/>
        </w:rPr>
        <w:t>A</w:t>
      </w:r>
      <w:r w:rsidR="002D554E" w:rsidRPr="000A2EB9">
        <w:rPr>
          <w:b/>
          <w:lang w:val="es-ES"/>
        </w:rPr>
        <w:t>) Fallos en materia de Derecho Colectivo</w:t>
      </w:r>
      <w:r w:rsidR="00E13F14" w:rsidRPr="000A2EB9">
        <w:rPr>
          <w:bCs/>
          <w:lang w:val="es-ES"/>
        </w:rPr>
        <w:t xml:space="preserve">. </w:t>
      </w:r>
    </w:p>
    <w:p w14:paraId="3323BAC5" w14:textId="21BC25ED" w:rsidR="002D554E" w:rsidRPr="000A2EB9" w:rsidRDefault="002F5665" w:rsidP="0007406A">
      <w:pPr>
        <w:spacing w:line="360" w:lineRule="auto"/>
        <w:jc w:val="both"/>
        <w:rPr>
          <w:bCs/>
          <w:lang w:val="es-ES"/>
        </w:rPr>
      </w:pPr>
      <w:r w:rsidRPr="000A2EB9">
        <w:rPr>
          <w:b/>
          <w:lang w:val="es-ES"/>
        </w:rPr>
        <w:t>A) 1.</w:t>
      </w:r>
      <w:r w:rsidRPr="000A2EB9">
        <w:rPr>
          <w:b/>
          <w:lang w:val="es-ES"/>
        </w:rPr>
        <w:tab/>
      </w:r>
      <w:r w:rsidR="00E13F14" w:rsidRPr="000A2EB9">
        <w:rPr>
          <w:b/>
          <w:lang w:val="es-ES"/>
        </w:rPr>
        <w:t>Libertad sindical.</w:t>
      </w:r>
    </w:p>
    <w:p w14:paraId="7FB66B75" w14:textId="5F26A7DB" w:rsidR="000E4227" w:rsidRPr="000A2EB9" w:rsidRDefault="002D554E" w:rsidP="0007406A">
      <w:pPr>
        <w:spacing w:line="360" w:lineRule="auto"/>
        <w:jc w:val="both"/>
        <w:rPr>
          <w:bCs/>
          <w:lang w:val="es-ES"/>
        </w:rPr>
      </w:pPr>
      <w:r w:rsidRPr="000A2EB9">
        <w:rPr>
          <w:bCs/>
          <w:lang w:val="es-ES"/>
        </w:rPr>
        <w:tab/>
        <w:t xml:space="preserve">El modelo de organización sindical argentino se caracteriza por permitir la libre constitución de </w:t>
      </w:r>
      <w:r w:rsidR="000E4227" w:rsidRPr="000A2EB9">
        <w:rPr>
          <w:bCs/>
          <w:lang w:val="es-ES"/>
        </w:rPr>
        <w:t xml:space="preserve">asociaciones profesionales de trabajadores, </w:t>
      </w:r>
      <w:r w:rsidRPr="000A2EB9">
        <w:rPr>
          <w:bCs/>
          <w:lang w:val="es-ES"/>
        </w:rPr>
        <w:t>sindicatos</w:t>
      </w:r>
      <w:r w:rsidR="000E4227" w:rsidRPr="000A2EB9">
        <w:rPr>
          <w:bCs/>
          <w:lang w:val="es-ES"/>
        </w:rPr>
        <w:t xml:space="preserve">, uniones, etc., </w:t>
      </w:r>
      <w:r w:rsidRPr="000A2EB9">
        <w:rPr>
          <w:bCs/>
          <w:lang w:val="es-ES"/>
        </w:rPr>
        <w:t>de manera que, para un mismo oficio</w:t>
      </w:r>
      <w:r w:rsidR="00C63740" w:rsidRPr="000A2EB9">
        <w:rPr>
          <w:bCs/>
          <w:lang w:val="es-ES"/>
        </w:rPr>
        <w:t>, categoría</w:t>
      </w:r>
      <w:r w:rsidRPr="000A2EB9">
        <w:rPr>
          <w:bCs/>
          <w:lang w:val="es-ES"/>
        </w:rPr>
        <w:t xml:space="preserve">, actividad o empresa, puedan constituirse tantas organizaciones como los trabajadores propongan y todas ellas tienen garantizado por la Constitución Nacional la </w:t>
      </w:r>
      <w:r w:rsidR="000E4227" w:rsidRPr="000A2EB9">
        <w:rPr>
          <w:bCs/>
          <w:lang w:val="es-ES"/>
        </w:rPr>
        <w:t>“</w:t>
      </w:r>
      <w:r w:rsidRPr="000A2EB9">
        <w:rPr>
          <w:bCs/>
          <w:lang w:val="es-ES"/>
        </w:rPr>
        <w:t>personería jurídica</w:t>
      </w:r>
      <w:r w:rsidR="000E4227" w:rsidRPr="000A2EB9">
        <w:rPr>
          <w:bCs/>
          <w:lang w:val="es-ES"/>
        </w:rPr>
        <w:t>”</w:t>
      </w:r>
      <w:r w:rsidRPr="000A2EB9">
        <w:rPr>
          <w:bCs/>
          <w:lang w:val="es-ES"/>
        </w:rPr>
        <w:t>, por la simple inscripción en un registro. Sin embargo, la ley de Asociaciones Profesionales de Trabajadores 23.55</w:t>
      </w:r>
      <w:r w:rsidR="00C63740" w:rsidRPr="000A2EB9">
        <w:rPr>
          <w:bCs/>
          <w:lang w:val="es-ES"/>
        </w:rPr>
        <w:t xml:space="preserve">1 introduce una distinción entre las organizaciones con un mismo ámbito de representación dándole sólo a una, la más representativa, la “personería gremial”, diferencia que se traduce en las atribuciones </w:t>
      </w:r>
      <w:r w:rsidR="000E4227" w:rsidRPr="000A2EB9">
        <w:rPr>
          <w:bCs/>
          <w:lang w:val="es-ES"/>
        </w:rPr>
        <w:t>otorg</w:t>
      </w:r>
      <w:r w:rsidR="00C63740" w:rsidRPr="000A2EB9">
        <w:rPr>
          <w:bCs/>
          <w:lang w:val="es-ES"/>
        </w:rPr>
        <w:t>adas exclusivamente a la entidad con “personería gremial” (</w:t>
      </w:r>
      <w:r w:rsidR="00BE41DC" w:rsidRPr="000A2EB9">
        <w:rPr>
          <w:rStyle w:val="Refdenotaalpie"/>
          <w:bCs/>
          <w:lang w:val="es-ES"/>
        </w:rPr>
        <w:footnoteReference w:id="9"/>
      </w:r>
      <w:r w:rsidR="00BE41DC" w:rsidRPr="000A2EB9">
        <w:rPr>
          <w:bCs/>
          <w:lang w:val="es-ES"/>
        </w:rPr>
        <w:t>)</w:t>
      </w:r>
      <w:r w:rsidR="00C63740" w:rsidRPr="000A2EB9">
        <w:rPr>
          <w:bCs/>
          <w:lang w:val="es-ES"/>
        </w:rPr>
        <w:t>, lo que deja a las entidades que no la gocen y que se denominan “simplemente inscriptas” en una situación de visible endeblez (</w:t>
      </w:r>
      <w:r w:rsidR="00C63740" w:rsidRPr="000A2EB9">
        <w:rPr>
          <w:rStyle w:val="Refdenotaalpie"/>
          <w:bCs/>
          <w:lang w:val="es-ES"/>
        </w:rPr>
        <w:footnoteReference w:id="10"/>
      </w:r>
      <w:r w:rsidR="00C63740" w:rsidRPr="000A2EB9">
        <w:rPr>
          <w:bCs/>
          <w:lang w:val="es-ES"/>
        </w:rPr>
        <w:t xml:space="preserve">). </w:t>
      </w:r>
    </w:p>
    <w:p w14:paraId="393F0D50" w14:textId="15F798D2" w:rsidR="002D554E" w:rsidRPr="000A2EB9" w:rsidRDefault="000E4227" w:rsidP="0007406A">
      <w:pPr>
        <w:spacing w:line="360" w:lineRule="auto"/>
        <w:jc w:val="both"/>
        <w:rPr>
          <w:bCs/>
          <w:lang w:val="es-ES"/>
        </w:rPr>
      </w:pPr>
      <w:r w:rsidRPr="000A2EB9">
        <w:rPr>
          <w:bCs/>
          <w:lang w:val="es-ES"/>
        </w:rPr>
        <w:lastRenderedPageBreak/>
        <w:t xml:space="preserve"> </w:t>
      </w:r>
      <w:r w:rsidRPr="000A2EB9">
        <w:rPr>
          <w:bCs/>
          <w:lang w:val="es-ES"/>
        </w:rPr>
        <w:tab/>
      </w:r>
      <w:r w:rsidR="00C63740" w:rsidRPr="000A2EB9">
        <w:rPr>
          <w:bCs/>
          <w:lang w:val="es-ES"/>
        </w:rPr>
        <w:t>Pero una de las diferencias más notables es que la ley 23.55</w:t>
      </w:r>
      <w:r w:rsidRPr="000A2EB9">
        <w:rPr>
          <w:bCs/>
          <w:lang w:val="es-ES"/>
        </w:rPr>
        <w:t>1</w:t>
      </w:r>
      <w:r w:rsidR="00C63740" w:rsidRPr="000A2EB9">
        <w:rPr>
          <w:bCs/>
          <w:lang w:val="es-ES"/>
        </w:rPr>
        <w:t xml:space="preserve"> otorga tutela sindical, una protección intensa, exclusivamente a los representantes de las organizaciones con “personería gremial”. De ello se sigue que los activistas y representantes de las otras organizaciones, las “simplemente inscriptas”, no gozan de protección frente, por ejemplo, al despido sin invocación de causa (</w:t>
      </w:r>
      <w:r w:rsidR="00C63740" w:rsidRPr="000A2EB9">
        <w:rPr>
          <w:rStyle w:val="Refdenotaalpie"/>
          <w:bCs/>
          <w:lang w:val="es-ES"/>
        </w:rPr>
        <w:footnoteReference w:id="11"/>
      </w:r>
      <w:r w:rsidR="00C63740" w:rsidRPr="000A2EB9">
        <w:rPr>
          <w:bCs/>
          <w:lang w:val="es-ES"/>
        </w:rPr>
        <w:t>).</w:t>
      </w:r>
    </w:p>
    <w:p w14:paraId="42EE85A3" w14:textId="629A027E" w:rsidR="002D554E" w:rsidRPr="000A2EB9" w:rsidRDefault="00BE41DC" w:rsidP="0007406A">
      <w:pPr>
        <w:spacing w:line="360" w:lineRule="auto"/>
        <w:jc w:val="both"/>
        <w:rPr>
          <w:bCs/>
          <w:lang w:val="es-ES"/>
        </w:rPr>
      </w:pPr>
      <w:r w:rsidRPr="000A2EB9">
        <w:rPr>
          <w:bCs/>
          <w:lang w:val="es-ES"/>
        </w:rPr>
        <w:tab/>
        <w:t xml:space="preserve">En efecto, los arts. 40, 48 y 50 de dicha ley, </w:t>
      </w:r>
      <w:r w:rsidR="000E4227" w:rsidRPr="000A2EB9">
        <w:rPr>
          <w:bCs/>
          <w:lang w:val="es-ES"/>
        </w:rPr>
        <w:t>referidos a</w:t>
      </w:r>
      <w:r w:rsidRPr="000A2EB9">
        <w:rPr>
          <w:bCs/>
          <w:lang w:val="es-ES"/>
        </w:rPr>
        <w:t xml:space="preserve"> los delegados del personal, las comisiones internas y organismos similares, </w:t>
      </w:r>
      <w:r w:rsidR="000E4227" w:rsidRPr="000A2EB9">
        <w:rPr>
          <w:bCs/>
          <w:lang w:val="es-ES"/>
        </w:rPr>
        <w:t xml:space="preserve">disponen que </w:t>
      </w:r>
      <w:r w:rsidRPr="000A2EB9">
        <w:rPr>
          <w:bCs/>
          <w:lang w:val="es-ES"/>
        </w:rPr>
        <w:t>los trabajadores que ocupen cargos electivos o representativos en asociaciones sindicales con personería gremial, en organismos que requieran representación gremial, o en cargos políticos en los poderes públicos y los postulantes o candidatos a tales cargos,</w:t>
      </w:r>
      <w:r w:rsidR="008C715D" w:rsidRPr="000A2EB9">
        <w:rPr>
          <w:bCs/>
          <w:lang w:val="es-ES"/>
        </w:rPr>
        <w:t xml:space="preserve"> gozan de una tutela especial e intensa, </w:t>
      </w:r>
      <w:r w:rsidR="000E4227" w:rsidRPr="000A2EB9">
        <w:rPr>
          <w:bCs/>
          <w:lang w:val="es-ES"/>
        </w:rPr>
        <w:t xml:space="preserve">una </w:t>
      </w:r>
      <w:r w:rsidR="00DE22BD" w:rsidRPr="000A2EB9">
        <w:rPr>
          <w:bCs/>
          <w:lang w:val="es-ES"/>
        </w:rPr>
        <w:t>estabilidad propia</w:t>
      </w:r>
      <w:r w:rsidR="000E4227" w:rsidRPr="000A2EB9">
        <w:rPr>
          <w:bCs/>
          <w:lang w:val="es-ES"/>
        </w:rPr>
        <w:t xml:space="preserve"> temporal</w:t>
      </w:r>
      <w:r w:rsidR="008C715D" w:rsidRPr="000A2EB9">
        <w:rPr>
          <w:bCs/>
          <w:lang w:val="es-ES"/>
        </w:rPr>
        <w:t>, protección que, como se anticipó, no les confirió la ley a quienes militen y obtengan similares cargos en asociaciones “simplemente inscriptas” (</w:t>
      </w:r>
      <w:r w:rsidR="008C715D" w:rsidRPr="000A2EB9">
        <w:rPr>
          <w:rStyle w:val="Refdenotaalpie"/>
          <w:bCs/>
          <w:lang w:val="es-ES"/>
        </w:rPr>
        <w:footnoteReference w:id="12"/>
      </w:r>
      <w:r w:rsidR="008C715D" w:rsidRPr="000A2EB9">
        <w:rPr>
          <w:bCs/>
          <w:lang w:val="es-ES"/>
        </w:rPr>
        <w:t>).</w:t>
      </w:r>
    </w:p>
    <w:p w14:paraId="0121D8D9" w14:textId="0C5DF9DA" w:rsidR="003A516A" w:rsidRPr="000A2EB9" w:rsidRDefault="003A516A" w:rsidP="0007406A">
      <w:pPr>
        <w:spacing w:line="360" w:lineRule="auto"/>
        <w:jc w:val="both"/>
        <w:rPr>
          <w:bCs/>
          <w:lang w:val="es-ES"/>
        </w:rPr>
      </w:pPr>
      <w:r w:rsidRPr="000A2EB9">
        <w:rPr>
          <w:bCs/>
          <w:lang w:val="es-ES"/>
        </w:rPr>
        <w:tab/>
        <w:t xml:space="preserve">Los tres pronunciamientos que voy a comentar nacieron del cuestionamiento de una trabajadora objeto de una sanción disciplinaria, quien cuestionara la validez constitucional de la ley 23.551 por no darle protección en su acción sindical por la mera circunstancia de ser representante de una entidad </w:t>
      </w:r>
      <w:r w:rsidR="000E4227" w:rsidRPr="000A2EB9">
        <w:rPr>
          <w:bCs/>
          <w:lang w:val="es-ES"/>
        </w:rPr>
        <w:t>“</w:t>
      </w:r>
      <w:r w:rsidRPr="000A2EB9">
        <w:rPr>
          <w:bCs/>
          <w:lang w:val="es-ES"/>
        </w:rPr>
        <w:t>simplemente inscripta</w:t>
      </w:r>
      <w:r w:rsidR="000E4227" w:rsidRPr="000A2EB9">
        <w:rPr>
          <w:bCs/>
          <w:lang w:val="es-ES"/>
        </w:rPr>
        <w:t>”</w:t>
      </w:r>
      <w:r w:rsidRPr="000A2EB9">
        <w:rPr>
          <w:bCs/>
          <w:lang w:val="es-ES"/>
        </w:rPr>
        <w:t>; otro de los casos, el primero, fue planteado por una asociación sindical para cuestionar el régimen de convocatoria a elecciones de delegados del personal y que éste limite las candidaturas exclusivamente a trabajadores afiliados a entidades con dicha cualidad; mientras el último fue producto de que a una entidad sindical simplemente inscripta se le negó la representatividad colectiva para cuestionar una medida tomada por</w:t>
      </w:r>
      <w:r w:rsidR="000E4227" w:rsidRPr="000A2EB9">
        <w:rPr>
          <w:bCs/>
          <w:lang w:val="es-ES"/>
        </w:rPr>
        <w:t xml:space="preserve"> un </w:t>
      </w:r>
      <w:r w:rsidRPr="000A2EB9">
        <w:rPr>
          <w:bCs/>
          <w:lang w:val="es-ES"/>
        </w:rPr>
        <w:t>Estado municipal en orden a los contratos de empleo público.</w:t>
      </w:r>
    </w:p>
    <w:p w14:paraId="5389944E" w14:textId="0C46E030" w:rsidR="002D554E" w:rsidRPr="000A2EB9" w:rsidRDefault="003A516A" w:rsidP="0007406A">
      <w:pPr>
        <w:spacing w:line="360" w:lineRule="auto"/>
        <w:jc w:val="both"/>
        <w:rPr>
          <w:bCs/>
          <w:lang w:val="es-ES"/>
        </w:rPr>
      </w:pPr>
      <w:r w:rsidRPr="000A2EB9">
        <w:rPr>
          <w:bCs/>
          <w:lang w:val="es-ES"/>
        </w:rPr>
        <w:t xml:space="preserve"> </w:t>
      </w:r>
      <w:r w:rsidRPr="000A2EB9">
        <w:rPr>
          <w:bCs/>
          <w:lang w:val="es-ES"/>
        </w:rPr>
        <w:tab/>
      </w:r>
      <w:r w:rsidR="008C715D" w:rsidRPr="000A2EB9">
        <w:rPr>
          <w:bCs/>
          <w:lang w:val="es-ES"/>
        </w:rPr>
        <w:t>Pues bien, en ese contexto normativo, la Corte Suprema el 11/11/2008 dio inicio a una serie de fallos que consideran contraria</w:t>
      </w:r>
      <w:r w:rsidR="000E4227" w:rsidRPr="000A2EB9">
        <w:rPr>
          <w:bCs/>
          <w:lang w:val="es-ES"/>
        </w:rPr>
        <w:t>s</w:t>
      </w:r>
      <w:r w:rsidR="008C715D" w:rsidRPr="000A2EB9">
        <w:rPr>
          <w:bCs/>
          <w:lang w:val="es-ES"/>
        </w:rPr>
        <w:t xml:space="preserve"> a normas internacionales las distinciones peyorativas efectuadas por la ley 23.551.</w:t>
      </w:r>
    </w:p>
    <w:p w14:paraId="431BCB78" w14:textId="167A0FD3" w:rsidR="008C715D" w:rsidRPr="000A2EB9" w:rsidRDefault="008C715D" w:rsidP="0007406A">
      <w:pPr>
        <w:spacing w:line="360" w:lineRule="auto"/>
        <w:jc w:val="both"/>
        <w:rPr>
          <w:bCs/>
          <w:lang w:val="es-ES"/>
        </w:rPr>
      </w:pPr>
      <w:r w:rsidRPr="000A2EB9">
        <w:rPr>
          <w:bCs/>
          <w:lang w:val="es-ES"/>
        </w:rPr>
        <w:tab/>
        <w:t xml:space="preserve">El primero de esos pronunciamientos fue dictado en la fecha precedentemente indicada en la causa </w:t>
      </w:r>
      <w:r w:rsidRPr="000A2EB9">
        <w:rPr>
          <w:b/>
          <w:lang w:val="es-ES"/>
        </w:rPr>
        <w:t>“</w:t>
      </w:r>
      <w:r w:rsidR="002D554E" w:rsidRPr="000A2EB9">
        <w:rPr>
          <w:b/>
          <w:lang w:val="es-ES"/>
        </w:rPr>
        <w:t xml:space="preserve">Asociación Trabajadores del Estado c/Ministerio de Trabajo </w:t>
      </w:r>
      <w:r w:rsidRPr="000A2EB9">
        <w:rPr>
          <w:b/>
          <w:lang w:val="es-ES"/>
        </w:rPr>
        <w:lastRenderedPageBreak/>
        <w:t xml:space="preserve">(ATE) </w:t>
      </w:r>
      <w:r w:rsidR="002D554E" w:rsidRPr="000A2EB9">
        <w:rPr>
          <w:b/>
          <w:lang w:val="es-ES"/>
        </w:rPr>
        <w:t>s/ Ley de Asociaciones Sindicales</w:t>
      </w:r>
      <w:r w:rsidR="000E4227" w:rsidRPr="000A2EB9">
        <w:rPr>
          <w:bCs/>
          <w:lang w:val="es-ES"/>
        </w:rPr>
        <w:t>”</w:t>
      </w:r>
      <w:r w:rsidRPr="000A2EB9">
        <w:rPr>
          <w:bCs/>
          <w:lang w:val="es-ES"/>
        </w:rPr>
        <w:t xml:space="preserve"> en la que se declaró la inconstitucionalidad del art. 41 inciso a) de la ley de Asociaciones Profesionales de Trabajadores.</w:t>
      </w:r>
    </w:p>
    <w:p w14:paraId="600B6939" w14:textId="7AA8676A" w:rsidR="002D554E" w:rsidRPr="000A2EB9" w:rsidRDefault="008C715D" w:rsidP="0007406A">
      <w:pPr>
        <w:spacing w:line="360" w:lineRule="auto"/>
        <w:jc w:val="both"/>
        <w:rPr>
          <w:bCs/>
          <w:lang w:val="es-ES"/>
        </w:rPr>
      </w:pPr>
      <w:r w:rsidRPr="000A2EB9">
        <w:rPr>
          <w:bCs/>
          <w:lang w:val="es-ES"/>
        </w:rPr>
        <w:tab/>
        <w:t xml:space="preserve">Esa norma, en línea con el modelo antes </w:t>
      </w:r>
      <w:r w:rsidR="000E4227" w:rsidRPr="000A2EB9">
        <w:rPr>
          <w:bCs/>
          <w:lang w:val="es-ES"/>
        </w:rPr>
        <w:t>esbozad</w:t>
      </w:r>
      <w:r w:rsidRPr="000A2EB9">
        <w:rPr>
          <w:bCs/>
          <w:lang w:val="es-ES"/>
        </w:rPr>
        <w:t>o, dispone que para que los trabajadores puedan ser elegidos delegados del personal, de las comisiones internas y de organismos similares se requiere: “</w:t>
      </w:r>
      <w:r w:rsidRPr="000A2EB9">
        <w:rPr>
          <w:bCs/>
          <w:i/>
          <w:iCs/>
          <w:lang w:val="es-ES"/>
        </w:rPr>
        <w:t xml:space="preserve">a) </w:t>
      </w:r>
      <w:r w:rsidRPr="000A2EB9">
        <w:rPr>
          <w:b/>
          <w:i/>
          <w:iCs/>
          <w:lang w:val="es-ES"/>
        </w:rPr>
        <w:t>Estar afiliado a la respectiva asociación sindical con personería gremial y ser elegido en comicios convocados por éstas…”</w:t>
      </w:r>
      <w:r w:rsidR="005B11C9" w:rsidRPr="000A2EB9">
        <w:rPr>
          <w:b/>
          <w:i/>
          <w:iCs/>
          <w:lang w:val="es-ES"/>
        </w:rPr>
        <w:t xml:space="preserve"> </w:t>
      </w:r>
      <w:r w:rsidR="005B11C9" w:rsidRPr="000A2EB9">
        <w:rPr>
          <w:bCs/>
          <w:lang w:val="es-ES"/>
        </w:rPr>
        <w:t>(la negrita es mía).</w:t>
      </w:r>
    </w:p>
    <w:p w14:paraId="29943A88" w14:textId="0F54A79E" w:rsidR="00311202" w:rsidRPr="000A2EB9" w:rsidRDefault="00311202" w:rsidP="00311202">
      <w:pPr>
        <w:spacing w:line="360" w:lineRule="auto"/>
        <w:ind w:firstLine="720"/>
        <w:jc w:val="both"/>
        <w:rPr>
          <w:bCs/>
          <w:lang w:val="es-ES"/>
        </w:rPr>
      </w:pPr>
      <w:r w:rsidRPr="000A2EB9">
        <w:rPr>
          <w:bCs/>
          <w:lang w:val="es-ES"/>
        </w:rPr>
        <w:t>La Dirección Nacional de Asociaciones Sindicales había hecho lugar a la impugnación formulada por la Unión del Personal Civil de las Fuerzas Armadas (PECIFA), y declarado la invalidez de la convocatoria a elecciones de delegados del personal efectuada por la Asociación de Trabajadores del Estado (ATE) en el ámbito del Estado Mayor General del Ejército y el Estado Mayor Conjunto de las Fuerzas Armadas, resolución administrativa confirmada, tras el recurso jerárquico respectiva, por la Ministra de Trabajo, Empleo y Seguridad Social y Sala VI de la CNAT, por su parte, ratificó esa decisión ministerial en el marco del recurso previsto en el art. 62 de la Ley de Asociaciones Profesionales y ello fue objeto del recurso extraordinario.</w:t>
      </w:r>
    </w:p>
    <w:p w14:paraId="71B223E9" w14:textId="771DDCC3" w:rsidR="00AC23F7" w:rsidRPr="000A2EB9" w:rsidRDefault="00AC23F7" w:rsidP="00AC23F7">
      <w:pPr>
        <w:spacing w:line="360" w:lineRule="auto"/>
        <w:jc w:val="both"/>
        <w:rPr>
          <w:bCs/>
          <w:lang w:val="es-ES"/>
        </w:rPr>
      </w:pPr>
      <w:r w:rsidRPr="000A2EB9">
        <w:rPr>
          <w:bCs/>
          <w:lang w:val="es-ES"/>
        </w:rPr>
        <w:tab/>
        <w:t>Según la Corte Suprema la exclusividad otorgada por la ley 23.551 al sindicato con personería gremial para el ejercicio de uno de tales derechos</w:t>
      </w:r>
      <w:r w:rsidR="000E4227" w:rsidRPr="000A2EB9">
        <w:rPr>
          <w:bCs/>
          <w:lang w:val="es-ES"/>
        </w:rPr>
        <w:t>,</w:t>
      </w:r>
      <w:r w:rsidRPr="000A2EB9">
        <w:rPr>
          <w:bCs/>
          <w:lang w:val="es-ES"/>
        </w:rPr>
        <w:t xml:space="preserve"> como ser el de  convocar elecciones de delegados</w:t>
      </w:r>
      <w:r w:rsidR="000E4227" w:rsidRPr="000A2EB9">
        <w:rPr>
          <w:bCs/>
          <w:lang w:val="es-ES"/>
        </w:rPr>
        <w:t>,</w:t>
      </w:r>
      <w:r w:rsidRPr="000A2EB9">
        <w:rPr>
          <w:bCs/>
          <w:lang w:val="es-ES"/>
        </w:rPr>
        <w:t xml:space="preserve"> podía ser examinada como una restricción a la libertad sindical garantizada por el artículo 14 bis de la Constitución Nacional.</w:t>
      </w:r>
    </w:p>
    <w:p w14:paraId="30D09756" w14:textId="3F493690" w:rsidR="002D554E" w:rsidRPr="000A2EB9" w:rsidRDefault="005B11C9" w:rsidP="0007406A">
      <w:pPr>
        <w:spacing w:line="360" w:lineRule="auto"/>
        <w:jc w:val="both"/>
        <w:rPr>
          <w:bCs/>
          <w:lang w:val="es-ES"/>
        </w:rPr>
      </w:pPr>
      <w:r w:rsidRPr="000A2EB9">
        <w:rPr>
          <w:bCs/>
          <w:lang w:val="es-ES"/>
        </w:rPr>
        <w:tab/>
        <w:t xml:space="preserve">Pues bien, el Alto Tribunal declaró, en síntesis, que la limitación que impide ser elegido delegado de personal a trabajadores no afiliados o afiliados a asociaciones simplemente inscriptas y también la exigencia de que tales comicios deban ser convocados exclusivamente por asociaciones con “personería gremial” contradice </w:t>
      </w:r>
      <w:r w:rsidR="000E4227" w:rsidRPr="000A2EB9">
        <w:rPr>
          <w:bCs/>
          <w:lang w:val="es-ES"/>
        </w:rPr>
        <w:t xml:space="preserve">y </w:t>
      </w:r>
      <w:r w:rsidRPr="000A2EB9">
        <w:rPr>
          <w:bCs/>
          <w:lang w:val="es-ES"/>
        </w:rPr>
        <w:t>viola el derecho a la libertad de asociación sindical amparado tanto por el art. 14 bis de la Constitución Nacional como por el Convenio 87 de la OIT, en la medida en que la distinción hecha por la ley “</w:t>
      </w:r>
      <w:r w:rsidRPr="000A2EB9">
        <w:rPr>
          <w:bCs/>
          <w:i/>
          <w:iCs/>
          <w:lang w:val="es-ES"/>
        </w:rPr>
        <w:t>no debería privar a las organizaciones sindicales, que no hayan sido reconocidas como las más representativas, de los medios esenciales para defender los intereses profesionales de sus miembros, ni del derecho de organizar su gestión y su actividad y de formular su programa de acción, previsto por el Convenio 87 de la OIT</w:t>
      </w:r>
      <w:r w:rsidR="000E4227" w:rsidRPr="000A2EB9">
        <w:rPr>
          <w:bCs/>
          <w:lang w:val="es-ES"/>
        </w:rPr>
        <w:t>”</w:t>
      </w:r>
      <w:r w:rsidRPr="000A2EB9">
        <w:rPr>
          <w:bCs/>
          <w:lang w:val="es-ES"/>
        </w:rPr>
        <w:t>. Además, la Corte Suprema señaló que la repercusión negativa nacida de esa distinción “</w:t>
      </w:r>
      <w:r w:rsidRPr="000A2EB9">
        <w:rPr>
          <w:bCs/>
          <w:i/>
          <w:iCs/>
          <w:lang w:val="es-ES"/>
        </w:rPr>
        <w:t>también se proyecta, con pareja intensidad, en el plano individual, por cuanto las funciones limitadas que la legislación reconoce a determinadas categorías de sindicatos, podrían tener por efecto indirecto restringir la libertad de los trabajadores para adherirse a organizaciones de su elección</w:t>
      </w:r>
      <w:r w:rsidRPr="000A2EB9">
        <w:rPr>
          <w:bCs/>
          <w:lang w:val="es-ES"/>
        </w:rPr>
        <w:t>”.</w:t>
      </w:r>
    </w:p>
    <w:p w14:paraId="622D6482" w14:textId="51D283A4" w:rsidR="00427E6B" w:rsidRPr="000A2EB9" w:rsidRDefault="00427E6B" w:rsidP="00427E6B">
      <w:pPr>
        <w:spacing w:line="360" w:lineRule="auto"/>
        <w:jc w:val="both"/>
        <w:rPr>
          <w:bCs/>
          <w:lang w:val="es-ES"/>
        </w:rPr>
      </w:pPr>
      <w:r w:rsidRPr="000A2EB9">
        <w:rPr>
          <w:bCs/>
          <w:lang w:val="es-ES"/>
        </w:rPr>
        <w:tab/>
        <w:t>Se añadió en dicho pronunciamiento que el artículo 41</w:t>
      </w:r>
      <w:r w:rsidR="000E4227" w:rsidRPr="000A2EB9">
        <w:rPr>
          <w:bCs/>
          <w:lang w:val="es-ES"/>
        </w:rPr>
        <w:t xml:space="preserve"> </w:t>
      </w:r>
      <w:r w:rsidRPr="000A2EB9">
        <w:rPr>
          <w:bCs/>
          <w:lang w:val="es-ES"/>
        </w:rPr>
        <w:t>a</w:t>
      </w:r>
      <w:r w:rsidR="000E4227" w:rsidRPr="000A2EB9">
        <w:rPr>
          <w:bCs/>
          <w:lang w:val="es-ES"/>
        </w:rPr>
        <w:t>)</w:t>
      </w:r>
      <w:r w:rsidRPr="000A2EB9">
        <w:rPr>
          <w:bCs/>
          <w:lang w:val="es-ES"/>
        </w:rPr>
        <w:t xml:space="preserve"> de la ley 23.551 resulta inconstitucional en la medida en que conced</w:t>
      </w:r>
      <w:r w:rsidR="000E4227" w:rsidRPr="000A2EB9">
        <w:rPr>
          <w:bCs/>
          <w:lang w:val="es-ES"/>
        </w:rPr>
        <w:t>e</w:t>
      </w:r>
      <w:r w:rsidRPr="000A2EB9">
        <w:rPr>
          <w:bCs/>
          <w:lang w:val="es-ES"/>
        </w:rPr>
        <w:t xml:space="preserve"> a los sindicatos que ostentan el</w:t>
      </w:r>
    </w:p>
    <w:p w14:paraId="21538016" w14:textId="19EE12A2" w:rsidR="00427E6B" w:rsidRPr="000A2EB9" w:rsidRDefault="00427E6B" w:rsidP="00427E6B">
      <w:pPr>
        <w:spacing w:line="360" w:lineRule="auto"/>
        <w:jc w:val="both"/>
        <w:rPr>
          <w:bCs/>
          <w:lang w:val="es-ES"/>
        </w:rPr>
      </w:pPr>
      <w:r w:rsidRPr="000A2EB9">
        <w:rPr>
          <w:bCs/>
          <w:lang w:val="es-ES"/>
        </w:rPr>
        <w:t>carácter de más representativos privilegios que exceden de una prioridad en materia de representación en las negociaciones colectivas, en la consulta por las autoridades y en la designación de los delegados ante los organismos internacionales, en detrimento de la actividad de los sindicatos simplemente inscriptos que compart</w:t>
      </w:r>
      <w:r w:rsidR="00F146C4" w:rsidRPr="000A2EB9">
        <w:rPr>
          <w:bCs/>
          <w:lang w:val="es-ES"/>
        </w:rPr>
        <w:t>en</w:t>
      </w:r>
      <w:r w:rsidRPr="000A2EB9">
        <w:rPr>
          <w:bCs/>
          <w:lang w:val="es-ES"/>
        </w:rPr>
        <w:t xml:space="preserve"> con aquéllos, total o parcialmente, el mismo ámbito de actuación.</w:t>
      </w:r>
    </w:p>
    <w:p w14:paraId="5D4D9183" w14:textId="3D9FBB43" w:rsidR="005923F4" w:rsidRPr="000A2EB9" w:rsidRDefault="005923F4" w:rsidP="005923F4">
      <w:pPr>
        <w:spacing w:line="360" w:lineRule="auto"/>
        <w:jc w:val="both"/>
        <w:rPr>
          <w:bCs/>
          <w:lang w:val="es-ES"/>
        </w:rPr>
      </w:pPr>
      <w:r w:rsidRPr="000A2EB9">
        <w:rPr>
          <w:bCs/>
          <w:lang w:val="es-ES"/>
        </w:rPr>
        <w:lastRenderedPageBreak/>
        <w:tab/>
        <w:t>Este pronunciamiento fue suscripto, por unanimidad, por los jueces Lorenzetti, Highton, Fayt, Petracchi, Maqueda y Zaffaroni.</w:t>
      </w:r>
    </w:p>
    <w:p w14:paraId="47C930DA" w14:textId="610C7B42" w:rsidR="00696C4B" w:rsidRPr="000A2EB9" w:rsidRDefault="005B11C9" w:rsidP="0007406A">
      <w:pPr>
        <w:spacing w:line="360" w:lineRule="auto"/>
        <w:jc w:val="both"/>
        <w:rPr>
          <w:bCs/>
          <w:lang w:val="es-ES"/>
        </w:rPr>
      </w:pPr>
      <w:r w:rsidRPr="000A2EB9">
        <w:rPr>
          <w:bCs/>
          <w:lang w:val="es-ES"/>
        </w:rPr>
        <w:tab/>
        <w:t>Ese primer precedente en materia de libertad sindical y de cuestionamiento al modelo sindical argentino fue segu</w:t>
      </w:r>
      <w:r w:rsidR="005923F4" w:rsidRPr="000A2EB9">
        <w:rPr>
          <w:bCs/>
          <w:lang w:val="es-ES"/>
        </w:rPr>
        <w:t>i</w:t>
      </w:r>
      <w:r w:rsidRPr="000A2EB9">
        <w:rPr>
          <w:bCs/>
          <w:lang w:val="es-ES"/>
        </w:rPr>
        <w:t xml:space="preserve">do un año después en la causa </w:t>
      </w:r>
      <w:r w:rsidRPr="000A2EB9">
        <w:rPr>
          <w:b/>
          <w:lang w:val="es-ES"/>
        </w:rPr>
        <w:t>“</w:t>
      </w:r>
      <w:r w:rsidR="002D554E" w:rsidRPr="000A2EB9">
        <w:rPr>
          <w:b/>
          <w:lang w:val="es-ES"/>
        </w:rPr>
        <w:t>Rossi, Adriana María c/Estado Nacional - Armada Argentina</w:t>
      </w:r>
      <w:r w:rsidR="00696C4B" w:rsidRPr="000A2EB9">
        <w:rPr>
          <w:b/>
          <w:lang w:val="es-ES"/>
        </w:rPr>
        <w:t>”</w:t>
      </w:r>
      <w:r w:rsidR="00F146C4" w:rsidRPr="000A2EB9">
        <w:rPr>
          <w:bCs/>
          <w:lang w:val="es-ES"/>
        </w:rPr>
        <w:t>,</w:t>
      </w:r>
      <w:r w:rsidR="00696C4B" w:rsidRPr="000A2EB9">
        <w:rPr>
          <w:bCs/>
          <w:lang w:val="es-ES"/>
        </w:rPr>
        <w:t xml:space="preserve"> de fecha</w:t>
      </w:r>
      <w:r w:rsidR="002D554E" w:rsidRPr="000A2EB9">
        <w:rPr>
          <w:bCs/>
          <w:lang w:val="es-ES"/>
        </w:rPr>
        <w:t xml:space="preserve"> 09/12/09</w:t>
      </w:r>
      <w:r w:rsidR="00696C4B" w:rsidRPr="000A2EB9">
        <w:rPr>
          <w:bCs/>
          <w:lang w:val="es-ES"/>
        </w:rPr>
        <w:t>.</w:t>
      </w:r>
    </w:p>
    <w:p w14:paraId="13B6B1EA" w14:textId="5466EE36" w:rsidR="00D821F1" w:rsidRPr="000A2EB9" w:rsidRDefault="00D821F1" w:rsidP="0007406A">
      <w:pPr>
        <w:spacing w:line="360" w:lineRule="auto"/>
        <w:jc w:val="both"/>
        <w:rPr>
          <w:bCs/>
          <w:lang w:val="es-ES"/>
        </w:rPr>
      </w:pPr>
      <w:r w:rsidRPr="000A2EB9">
        <w:rPr>
          <w:bCs/>
          <w:lang w:val="es-ES"/>
        </w:rPr>
        <w:tab/>
        <w:t>En este pleito se puso en discusión el corazón del régimen de tutela sindical que, como anticipé, la ley 23.551 reserva exclusivamente a los delegados del personal y los representantes sindicales de entidades con “personería gremial”.</w:t>
      </w:r>
    </w:p>
    <w:p w14:paraId="3C6E4182" w14:textId="3DAF1D1C" w:rsidR="00D821F1" w:rsidRPr="000A2EB9" w:rsidRDefault="00D821F1" w:rsidP="00F949DD">
      <w:pPr>
        <w:spacing w:line="360" w:lineRule="auto"/>
        <w:jc w:val="both"/>
        <w:rPr>
          <w:bCs/>
          <w:lang w:val="es-ES"/>
        </w:rPr>
      </w:pPr>
      <w:r w:rsidRPr="000A2EB9">
        <w:rPr>
          <w:bCs/>
          <w:lang w:val="es-ES"/>
        </w:rPr>
        <w:tab/>
        <w:t xml:space="preserve">La actora, una trabajadora del Hospital Naval, del Estado Nacional, fue </w:t>
      </w:r>
      <w:r w:rsidR="00F949DD" w:rsidRPr="000A2EB9">
        <w:rPr>
          <w:bCs/>
          <w:lang w:val="es-ES"/>
        </w:rPr>
        <w:t xml:space="preserve">objeto de una sanción disciplinaria </w:t>
      </w:r>
      <w:r w:rsidR="00E01D56" w:rsidRPr="000A2EB9">
        <w:rPr>
          <w:bCs/>
          <w:lang w:val="es-ES"/>
        </w:rPr>
        <w:t xml:space="preserve">consistente en una suspensión </w:t>
      </w:r>
      <w:r w:rsidR="00F949DD" w:rsidRPr="000A2EB9">
        <w:rPr>
          <w:bCs/>
          <w:lang w:val="es-ES"/>
        </w:rPr>
        <w:t xml:space="preserve">y un posterior traslado, habiéndose tomado ambas decisiones </w:t>
      </w:r>
      <w:r w:rsidR="0007406A" w:rsidRPr="000A2EB9">
        <w:rPr>
          <w:bCs/>
          <w:lang w:val="es-ES"/>
        </w:rPr>
        <w:t>sin recorrer el procedimiento de exclusión de tutela legal</w:t>
      </w:r>
      <w:r w:rsidRPr="000A2EB9">
        <w:rPr>
          <w:bCs/>
          <w:lang w:val="es-ES"/>
        </w:rPr>
        <w:t>, negándosele la</w:t>
      </w:r>
      <w:r w:rsidR="00F949DD" w:rsidRPr="000A2EB9">
        <w:rPr>
          <w:bCs/>
          <w:lang w:val="es-ES"/>
        </w:rPr>
        <w:t xml:space="preserve"> tutela </w:t>
      </w:r>
      <w:r w:rsidRPr="000A2EB9">
        <w:rPr>
          <w:bCs/>
          <w:lang w:val="es-ES"/>
        </w:rPr>
        <w:t xml:space="preserve">del art. 52 de aquella ley por cuanto </w:t>
      </w:r>
      <w:r w:rsidR="005923F4" w:rsidRPr="000A2EB9">
        <w:rPr>
          <w:bCs/>
          <w:lang w:val="es-ES"/>
        </w:rPr>
        <w:t xml:space="preserve">la trabajadora había sido </w:t>
      </w:r>
      <w:r w:rsidRPr="000A2EB9">
        <w:rPr>
          <w:bCs/>
          <w:lang w:val="es-ES"/>
        </w:rPr>
        <w:t>electa representante</w:t>
      </w:r>
      <w:r w:rsidR="00F949DD" w:rsidRPr="000A2EB9">
        <w:rPr>
          <w:bCs/>
          <w:lang w:val="es-ES"/>
        </w:rPr>
        <w:t>, en calidad de Presidente,</w:t>
      </w:r>
      <w:r w:rsidRPr="000A2EB9">
        <w:rPr>
          <w:bCs/>
          <w:lang w:val="es-ES"/>
        </w:rPr>
        <w:t xml:space="preserve"> de la Asociación de Profesionales de la Salud del Hospital Naval (PROSANA) y </w:t>
      </w:r>
      <w:r w:rsidR="00F949DD" w:rsidRPr="000A2EB9">
        <w:rPr>
          <w:bCs/>
          <w:lang w:val="es-ES"/>
        </w:rPr>
        <w:t>miembro titular del Consejo Federal de la F</w:t>
      </w:r>
      <w:r w:rsidRPr="000A2EB9">
        <w:rPr>
          <w:bCs/>
          <w:lang w:val="es-ES"/>
        </w:rPr>
        <w:t>ederación Médica Gremial de la</w:t>
      </w:r>
      <w:r w:rsidR="0007406A" w:rsidRPr="000A2EB9">
        <w:rPr>
          <w:bCs/>
          <w:lang w:val="es-ES"/>
        </w:rPr>
        <w:t xml:space="preserve"> Capital Federal </w:t>
      </w:r>
      <w:r w:rsidRPr="000A2EB9">
        <w:rPr>
          <w:bCs/>
          <w:lang w:val="es-ES"/>
        </w:rPr>
        <w:t>(FEMECA), y en el entendimiento de que sólo gozan de la protección legal los representantes de la entidad con “personería gremial”, en el caso la Unión del Personal Civil de las Fuerzas Armadas (PECIFA).</w:t>
      </w:r>
      <w:r w:rsidR="00311202" w:rsidRPr="000A2EB9">
        <w:rPr>
          <w:bCs/>
          <w:lang w:val="es-ES"/>
        </w:rPr>
        <w:t xml:space="preserve"> </w:t>
      </w:r>
    </w:p>
    <w:p w14:paraId="01FC844E" w14:textId="07E94C51" w:rsidR="00AD161C" w:rsidRPr="000A2EB9" w:rsidRDefault="00AD161C" w:rsidP="00F949DD">
      <w:pPr>
        <w:spacing w:line="360" w:lineRule="auto"/>
        <w:jc w:val="both"/>
        <w:rPr>
          <w:bCs/>
          <w:lang w:val="es-ES"/>
        </w:rPr>
      </w:pPr>
      <w:r w:rsidRPr="000A2EB9">
        <w:rPr>
          <w:bCs/>
          <w:lang w:val="es-ES"/>
        </w:rPr>
        <w:tab/>
        <w:t>La Sala II de la CNAT había confirmado la sentencia de primera instancia que desestimara la acción deducida por la trabajadora y ello, por la vía del recurso extraordinario, motivó la intervención de la Corte Suprema.</w:t>
      </w:r>
    </w:p>
    <w:p w14:paraId="4E741516" w14:textId="77777777" w:rsidR="00D81A4E" w:rsidRPr="000A2EB9" w:rsidRDefault="00D821F1" w:rsidP="00D81A4E">
      <w:pPr>
        <w:spacing w:line="360" w:lineRule="auto"/>
        <w:jc w:val="both"/>
        <w:rPr>
          <w:bCs/>
          <w:lang w:val="es-ES"/>
        </w:rPr>
      </w:pPr>
      <w:r w:rsidRPr="000A2EB9">
        <w:rPr>
          <w:bCs/>
          <w:lang w:val="es-ES"/>
        </w:rPr>
        <w:tab/>
        <w:t>El Máximo Tribunal</w:t>
      </w:r>
      <w:r w:rsidR="00AC23F7" w:rsidRPr="000A2EB9">
        <w:rPr>
          <w:bCs/>
          <w:lang w:val="es-ES"/>
        </w:rPr>
        <w:t>, por el voto de la mayoría,</w:t>
      </w:r>
      <w:r w:rsidR="005923F4" w:rsidRPr="000A2EB9">
        <w:rPr>
          <w:bCs/>
          <w:lang w:val="es-ES"/>
        </w:rPr>
        <w:t xml:space="preserve"> formada por los ministros </w:t>
      </w:r>
      <w:r w:rsidRPr="000A2EB9">
        <w:rPr>
          <w:bCs/>
          <w:lang w:val="es-ES"/>
        </w:rPr>
        <w:t xml:space="preserve"> </w:t>
      </w:r>
      <w:r w:rsidR="00D81A4E" w:rsidRPr="000A2EB9">
        <w:rPr>
          <w:bCs/>
          <w:lang w:val="es-ES"/>
        </w:rPr>
        <w:t xml:space="preserve">Lorenzetti, Highton, Fayt, Petracchi, Maqueda y Zaffaroni, es decir los mismos que sentenciaran el caso “ATE”, </w:t>
      </w:r>
      <w:r w:rsidR="00337616" w:rsidRPr="000A2EB9">
        <w:rPr>
          <w:bCs/>
          <w:lang w:val="es-ES"/>
        </w:rPr>
        <w:t xml:space="preserve">dejó de lado intencionalmente el hecho de </w:t>
      </w:r>
      <w:r w:rsidRPr="000A2EB9">
        <w:rPr>
          <w:bCs/>
          <w:lang w:val="es-ES"/>
        </w:rPr>
        <w:t xml:space="preserve">que el cargo ostentado por la trabajadora en FEMECA le colocaba en el ámbito de protección legal, puesto que se trata de una Federación con “personería gremial” </w:t>
      </w:r>
      <w:r w:rsidR="00F949DD" w:rsidRPr="000A2EB9">
        <w:rPr>
          <w:bCs/>
          <w:lang w:val="es-ES"/>
        </w:rPr>
        <w:t>(</w:t>
      </w:r>
      <w:r w:rsidR="00F949DD" w:rsidRPr="000A2EB9">
        <w:rPr>
          <w:rStyle w:val="Refdenotaalpie"/>
          <w:bCs/>
          <w:lang w:val="es-ES"/>
        </w:rPr>
        <w:footnoteReference w:id="13"/>
      </w:r>
      <w:r w:rsidR="00F949DD" w:rsidRPr="000A2EB9">
        <w:rPr>
          <w:bCs/>
          <w:lang w:val="es-ES"/>
        </w:rPr>
        <w:t>)</w:t>
      </w:r>
      <w:r w:rsidRPr="000A2EB9">
        <w:rPr>
          <w:bCs/>
          <w:lang w:val="es-ES"/>
        </w:rPr>
        <w:t>,</w:t>
      </w:r>
      <w:r w:rsidR="00337616" w:rsidRPr="000A2EB9">
        <w:rPr>
          <w:bCs/>
          <w:lang w:val="es-ES"/>
        </w:rPr>
        <w:t xml:space="preserve"> porque, evidentemente, quiso</w:t>
      </w:r>
      <w:r w:rsidR="00D81A4E" w:rsidRPr="000A2EB9">
        <w:rPr>
          <w:bCs/>
          <w:lang w:val="es-ES"/>
        </w:rPr>
        <w:t xml:space="preserve"> </w:t>
      </w:r>
      <w:r w:rsidRPr="000A2EB9">
        <w:rPr>
          <w:bCs/>
          <w:lang w:val="es-ES"/>
        </w:rPr>
        <w:t xml:space="preserve">hacer foco en el nudo de la cuestión, que guarda una evidente vinculación con la doctrina sentada en el precedente </w:t>
      </w:r>
      <w:r w:rsidR="00D81A4E" w:rsidRPr="000A2EB9">
        <w:rPr>
          <w:bCs/>
          <w:lang w:val="es-ES"/>
        </w:rPr>
        <w:t>“</w:t>
      </w:r>
      <w:r w:rsidRPr="000A2EB9">
        <w:rPr>
          <w:bCs/>
          <w:lang w:val="es-ES"/>
        </w:rPr>
        <w:t>ATE</w:t>
      </w:r>
      <w:r w:rsidR="00D81A4E" w:rsidRPr="000A2EB9">
        <w:rPr>
          <w:bCs/>
          <w:lang w:val="es-ES"/>
        </w:rPr>
        <w:t>”</w:t>
      </w:r>
      <w:r w:rsidRPr="000A2EB9">
        <w:rPr>
          <w:bCs/>
          <w:lang w:val="es-ES"/>
        </w:rPr>
        <w:t>, recién reseñado.</w:t>
      </w:r>
      <w:r w:rsidR="00577C21" w:rsidRPr="000A2EB9">
        <w:rPr>
          <w:bCs/>
          <w:lang w:val="es-ES"/>
        </w:rPr>
        <w:t xml:space="preserve"> </w:t>
      </w:r>
    </w:p>
    <w:p w14:paraId="54EFA398" w14:textId="6F6BD5D1" w:rsidR="00D821F1" w:rsidRPr="000A2EB9" w:rsidRDefault="00D81A4E" w:rsidP="00D81A4E">
      <w:pPr>
        <w:spacing w:line="360" w:lineRule="auto"/>
        <w:jc w:val="both"/>
        <w:rPr>
          <w:bCs/>
          <w:lang w:val="es-ES"/>
        </w:rPr>
      </w:pPr>
      <w:r w:rsidRPr="000A2EB9">
        <w:rPr>
          <w:bCs/>
          <w:lang w:val="es-ES"/>
        </w:rPr>
        <w:t xml:space="preserve"> </w:t>
      </w:r>
      <w:r w:rsidRPr="000A2EB9">
        <w:rPr>
          <w:bCs/>
          <w:lang w:val="es-ES"/>
        </w:rPr>
        <w:tab/>
      </w:r>
      <w:r w:rsidR="00577C21" w:rsidRPr="000A2EB9">
        <w:rPr>
          <w:bCs/>
          <w:lang w:val="es-ES"/>
        </w:rPr>
        <w:t>De hecho, el dictamen del Ministerio Público hizo hincapié en tal circunstancia recomendando dejar sin efecto la sentencia por la vía de la arbitrariedad, al haber omitido la consideración de un dato tan relevante</w:t>
      </w:r>
      <w:r w:rsidR="00E01D56" w:rsidRPr="000A2EB9">
        <w:rPr>
          <w:bCs/>
          <w:lang w:val="es-ES"/>
        </w:rPr>
        <w:t xml:space="preserve"> y en el fallo del Máximo Tribunal se desecha expresamente esa vía de resolución para ir al fondo de la cuestión constitucional.</w:t>
      </w:r>
      <w:r w:rsidRPr="000A2EB9">
        <w:rPr>
          <w:bCs/>
          <w:lang w:val="es-ES"/>
        </w:rPr>
        <w:t xml:space="preserve"> En igual sentido votó, concurrentemente pero por un voto individual, la jueza Argibay, quien optó por dar respuesta favorable al recurso extraordinario en base a que, según su interpretación del art. 35 de la ley 23.551, la representación asumida por la accionante en una Federación con personería gremial resulta suficiente para otorgarle la protección del art. 52 de dicha ley. Como es obvio, la Dra. Argibay no compartió el deseo de la mayoría del Alto Tribunal de aprovechar el caso para hacer un poderosa declaración en defensa de la libertad sindical.</w:t>
      </w:r>
    </w:p>
    <w:p w14:paraId="6327BD74" w14:textId="5DF2FA8A" w:rsidR="006F1FAB" w:rsidRPr="000A2EB9" w:rsidRDefault="00577C21" w:rsidP="006F1FAB">
      <w:pPr>
        <w:spacing w:line="360" w:lineRule="auto"/>
        <w:jc w:val="both"/>
        <w:rPr>
          <w:bCs/>
          <w:lang w:val="es-ES"/>
        </w:rPr>
      </w:pPr>
      <w:r w:rsidRPr="000A2EB9">
        <w:rPr>
          <w:bCs/>
          <w:lang w:val="es-ES"/>
        </w:rPr>
        <w:lastRenderedPageBreak/>
        <w:tab/>
      </w:r>
      <w:r w:rsidR="00D81A4E" w:rsidRPr="000A2EB9">
        <w:rPr>
          <w:bCs/>
          <w:lang w:val="es-ES"/>
        </w:rPr>
        <w:t>Como dije</w:t>
      </w:r>
      <w:r w:rsidRPr="000A2EB9">
        <w:rPr>
          <w:bCs/>
          <w:lang w:val="es-ES"/>
        </w:rPr>
        <w:t xml:space="preserve">, </w:t>
      </w:r>
      <w:r w:rsidR="00D81A4E" w:rsidRPr="000A2EB9">
        <w:rPr>
          <w:bCs/>
          <w:lang w:val="es-ES"/>
        </w:rPr>
        <w:t xml:space="preserve">el voto mayoritario de </w:t>
      </w:r>
      <w:r w:rsidRPr="000A2EB9">
        <w:rPr>
          <w:bCs/>
          <w:lang w:val="es-ES"/>
        </w:rPr>
        <w:t xml:space="preserve">la Corte Federal </w:t>
      </w:r>
      <w:r w:rsidR="006F1FAB" w:rsidRPr="000A2EB9">
        <w:rPr>
          <w:bCs/>
          <w:lang w:val="es-ES"/>
        </w:rPr>
        <w:t xml:space="preserve">fue al nervio del problema, declarando inconstitucional el art. 52 de la ley sindical en cuanto limita la protección otorgada exclusivamente a representantes de las entidades que gozan de la “personería gremial”. </w:t>
      </w:r>
    </w:p>
    <w:p w14:paraId="222DA646" w14:textId="2F79BE54" w:rsidR="00577C21" w:rsidRPr="000A2EB9" w:rsidRDefault="006F1FAB" w:rsidP="006F1FAB">
      <w:pPr>
        <w:spacing w:line="360" w:lineRule="auto"/>
        <w:jc w:val="both"/>
        <w:rPr>
          <w:bCs/>
          <w:lang w:val="es-ES"/>
        </w:rPr>
      </w:pPr>
      <w:r w:rsidRPr="000A2EB9">
        <w:rPr>
          <w:bCs/>
          <w:lang w:val="es-ES"/>
        </w:rPr>
        <w:t xml:space="preserve"> </w:t>
      </w:r>
      <w:r w:rsidRPr="000A2EB9">
        <w:rPr>
          <w:bCs/>
          <w:lang w:val="es-ES"/>
        </w:rPr>
        <w:tab/>
        <w:t xml:space="preserve">En tal sentido, el Tribunal Cimero de Argentina vinculó este caso con el resuelto </w:t>
      </w:r>
      <w:r w:rsidR="00F146C4" w:rsidRPr="000A2EB9">
        <w:rPr>
          <w:bCs/>
          <w:lang w:val="es-ES"/>
        </w:rPr>
        <w:t xml:space="preserve">un año antes </w:t>
      </w:r>
      <w:r w:rsidRPr="000A2EB9">
        <w:rPr>
          <w:bCs/>
          <w:lang w:val="es-ES"/>
        </w:rPr>
        <w:t xml:space="preserve">en </w:t>
      </w:r>
      <w:r w:rsidR="00F146C4" w:rsidRPr="000A2EB9">
        <w:rPr>
          <w:bCs/>
          <w:lang w:val="es-ES"/>
        </w:rPr>
        <w:t xml:space="preserve">la causa </w:t>
      </w:r>
      <w:r w:rsidRPr="000A2EB9">
        <w:rPr>
          <w:bCs/>
          <w:lang w:val="es-ES"/>
        </w:rPr>
        <w:t>“ATE”, pero siguió profundizando la cuestión relativa al modelo legal, indicando que la libertad sindical debe estar rodeada, como atributo intrínseco o inherente para el logro de su ejercicio cabal y fecundo, de un particular marco de protección de los representantes gremiales ya que el art. 14 bis de la Constitución dispuso de manera terminante que éstos gozarán de las garantías necesarias para el cumplimiento de su gestión sindical y las relacionadas con la estabilidad de su empleo.</w:t>
      </w:r>
    </w:p>
    <w:p w14:paraId="51E06DE6" w14:textId="6C8765A5" w:rsidR="001A3CB4" w:rsidRPr="000A2EB9" w:rsidRDefault="00D821F1" w:rsidP="001A3CB4">
      <w:pPr>
        <w:spacing w:line="360" w:lineRule="auto"/>
        <w:jc w:val="both"/>
        <w:rPr>
          <w:bCs/>
          <w:lang w:val="es-ES"/>
        </w:rPr>
      </w:pPr>
      <w:r w:rsidRPr="000A2EB9">
        <w:rPr>
          <w:bCs/>
          <w:lang w:val="es-ES"/>
        </w:rPr>
        <w:tab/>
      </w:r>
      <w:r w:rsidR="006F1FAB" w:rsidRPr="000A2EB9">
        <w:rPr>
          <w:bCs/>
          <w:lang w:val="es-ES"/>
        </w:rPr>
        <w:t>Y añadió que dicha protección, si bien debe ser realizada por el Estado, no defiende a los representantes gremiales sólo ante acciones u omisiones de aquél violatorias de la libertad sindical, sino también frente a las acciones u omisiones de análogo tenor pero provenientes de particulares o actores no estatales, como es el caso, v.gr., de los empleadores privados. Con cita de</w:t>
      </w:r>
      <w:r w:rsidR="001A3CB4" w:rsidRPr="000A2EB9">
        <w:rPr>
          <w:bCs/>
          <w:lang w:val="es-ES"/>
        </w:rPr>
        <w:t xml:space="preserve"> lo señalado por </w:t>
      </w:r>
      <w:r w:rsidR="006F1FAB" w:rsidRPr="000A2EB9">
        <w:rPr>
          <w:bCs/>
          <w:lang w:val="es-ES"/>
        </w:rPr>
        <w:t>la Corte Interamericana de Derechos Humanos referentes a la libertad sindical y a la libertad de asociación previstas en el artículo</w:t>
      </w:r>
      <w:r w:rsidR="001A3CB4" w:rsidRPr="000A2EB9">
        <w:rPr>
          <w:bCs/>
          <w:lang w:val="es-ES"/>
        </w:rPr>
        <w:t xml:space="preserve"> </w:t>
      </w:r>
      <w:r w:rsidR="006F1FAB" w:rsidRPr="000A2EB9">
        <w:rPr>
          <w:bCs/>
          <w:lang w:val="es-ES"/>
        </w:rPr>
        <w:t>16 de la Convención Americana sobre Derechos Humanos</w:t>
      </w:r>
      <w:r w:rsidR="001A3CB4" w:rsidRPr="000A2EB9">
        <w:rPr>
          <w:bCs/>
          <w:lang w:val="es-ES"/>
        </w:rPr>
        <w:t xml:space="preserve"> en la causa “Huilca  Tecse  v</w:t>
      </w:r>
      <w:r w:rsidR="000C3150" w:rsidRPr="000A2EB9">
        <w:rPr>
          <w:bCs/>
          <w:lang w:val="es-ES"/>
        </w:rPr>
        <w:t>s</w:t>
      </w:r>
      <w:r w:rsidR="001A3CB4" w:rsidRPr="000A2EB9">
        <w:rPr>
          <w:bCs/>
          <w:lang w:val="es-ES"/>
        </w:rPr>
        <w:t>. Perú , del 03/03/2005, el Máximo Tribunal argentino s</w:t>
      </w:r>
      <w:r w:rsidR="006F1FAB" w:rsidRPr="000A2EB9">
        <w:rPr>
          <w:bCs/>
          <w:lang w:val="es-ES"/>
        </w:rPr>
        <w:t xml:space="preserve">ostuvo  que </w:t>
      </w:r>
      <w:r w:rsidR="001A3CB4" w:rsidRPr="000A2EB9">
        <w:rPr>
          <w:bCs/>
          <w:lang w:val="es-ES"/>
        </w:rPr>
        <w:t>a la obligación estatal negativa de no interferir, se yuxtapone una obligación positiva, consistente en adoptar las medidas apropiadas para proteger y preservar el ejercicio de la actividad sindical sin temor por parte de los representantes sindicales, ya que, de lo contrario, se podría disminuir la capacidad de las agrupaciones de organizarse para la protección de sus intereses.</w:t>
      </w:r>
    </w:p>
    <w:p w14:paraId="2B05E25D" w14:textId="260BFC0F" w:rsidR="00053B4A" w:rsidRPr="000A2EB9" w:rsidRDefault="00053B4A" w:rsidP="00053B4A">
      <w:pPr>
        <w:spacing w:line="360" w:lineRule="auto"/>
        <w:jc w:val="both"/>
        <w:rPr>
          <w:bCs/>
          <w:lang w:val="es-ES"/>
        </w:rPr>
      </w:pPr>
      <w:r w:rsidRPr="000A2EB9">
        <w:rPr>
          <w:bCs/>
          <w:lang w:val="es-ES"/>
        </w:rPr>
        <w:t xml:space="preserve"> </w:t>
      </w:r>
      <w:r w:rsidRPr="000A2EB9">
        <w:rPr>
          <w:bCs/>
          <w:lang w:val="es-ES"/>
        </w:rPr>
        <w:tab/>
        <w:t xml:space="preserve">En opinión del Alto Tribunal argentino, al limitar la ley la protección a los representantes gremiales de los sindicatos con </w:t>
      </w:r>
      <w:r w:rsidR="00F146C4" w:rsidRPr="000A2EB9">
        <w:rPr>
          <w:bCs/>
          <w:lang w:val="es-ES"/>
        </w:rPr>
        <w:t>“</w:t>
      </w:r>
      <w:r w:rsidRPr="000A2EB9">
        <w:rPr>
          <w:bCs/>
          <w:lang w:val="es-ES"/>
        </w:rPr>
        <w:t>personería gremial</w:t>
      </w:r>
      <w:r w:rsidR="00F146C4" w:rsidRPr="000A2EB9">
        <w:rPr>
          <w:bCs/>
          <w:lang w:val="es-ES"/>
        </w:rPr>
        <w:t>”</w:t>
      </w:r>
      <w:r w:rsidRPr="000A2EB9">
        <w:rPr>
          <w:bCs/>
          <w:lang w:val="es-ES"/>
        </w:rPr>
        <w:t xml:space="preserve"> ha violentado de manera patente </w:t>
      </w:r>
      <w:r w:rsidR="00486CC8" w:rsidRPr="000A2EB9">
        <w:rPr>
          <w:bCs/>
          <w:lang w:val="es-ES"/>
        </w:rPr>
        <w:t>e</w:t>
      </w:r>
      <w:r w:rsidRPr="000A2EB9">
        <w:rPr>
          <w:bCs/>
          <w:lang w:val="es-ES"/>
        </w:rPr>
        <w:t xml:space="preserve"> injustificada la esfera en que el legislador puede válidamente dispensar determinados privilegios a las asociaciones más representativas.</w:t>
      </w:r>
    </w:p>
    <w:p w14:paraId="035CD28A" w14:textId="5BF47689" w:rsidR="00486CC8" w:rsidRPr="000A2EB9" w:rsidRDefault="00053B4A" w:rsidP="00486CC8">
      <w:pPr>
        <w:spacing w:line="360" w:lineRule="auto"/>
        <w:ind w:firstLine="720"/>
        <w:jc w:val="both"/>
        <w:rPr>
          <w:bCs/>
          <w:lang w:val="es-ES"/>
        </w:rPr>
      </w:pPr>
      <w:r w:rsidRPr="000A2EB9">
        <w:rPr>
          <w:bCs/>
          <w:lang w:val="es-ES"/>
        </w:rPr>
        <w:t xml:space="preserve">Concluyó la Corte Suprema que esa distinción mortifica </w:t>
      </w:r>
      <w:r w:rsidR="00486CC8" w:rsidRPr="000A2EB9">
        <w:rPr>
          <w:bCs/>
          <w:lang w:val="es-ES"/>
        </w:rPr>
        <w:t>la</w:t>
      </w:r>
      <w:r w:rsidRPr="000A2EB9">
        <w:rPr>
          <w:bCs/>
          <w:lang w:val="es-ES"/>
        </w:rPr>
        <w:t xml:space="preserve"> libertad </w:t>
      </w:r>
      <w:r w:rsidR="00486CC8" w:rsidRPr="000A2EB9">
        <w:rPr>
          <w:bCs/>
          <w:lang w:val="es-ES"/>
        </w:rPr>
        <w:t xml:space="preserve">sindical de las entidades sindicales y de los trabajadores ya que </w:t>
      </w:r>
      <w:r w:rsidRPr="000A2EB9">
        <w:rPr>
          <w:bCs/>
          <w:lang w:val="es-ES"/>
        </w:rPr>
        <w:t xml:space="preserve">el distingo </w:t>
      </w:r>
      <w:r w:rsidR="00486CC8" w:rsidRPr="000A2EB9">
        <w:rPr>
          <w:bCs/>
          <w:lang w:val="es-ES"/>
        </w:rPr>
        <w:t xml:space="preserve">hecho por la ley 23.551 </w:t>
      </w:r>
      <w:r w:rsidRPr="000A2EB9">
        <w:rPr>
          <w:bCs/>
          <w:lang w:val="es-ES"/>
        </w:rPr>
        <w:t>constriñe, siquiera indirectamente, a los trabajadores individualmente considerados que se dispongan a actuar como representantes gremiales a adherirse a la entidad con personería gremial, no obstante la existencia, en el mismo ámbito, de otra simplemente inscripta</w:t>
      </w:r>
      <w:r w:rsidR="00486CC8" w:rsidRPr="000A2EB9">
        <w:rPr>
          <w:bCs/>
          <w:lang w:val="es-ES"/>
        </w:rPr>
        <w:t xml:space="preserve">, señalando que una </w:t>
      </w:r>
      <w:r w:rsidRPr="000A2EB9">
        <w:rPr>
          <w:bCs/>
          <w:lang w:val="es-ES"/>
        </w:rPr>
        <w:t xml:space="preserve">situación análoga se produce en orden a los trabajadores que deseen afiliarse y verse representados sindicalmente. </w:t>
      </w:r>
    </w:p>
    <w:p w14:paraId="435051C8" w14:textId="48607E34" w:rsidR="00053B4A" w:rsidRPr="000A2EB9" w:rsidRDefault="00053B4A" w:rsidP="00486CC8">
      <w:pPr>
        <w:spacing w:line="360" w:lineRule="auto"/>
        <w:ind w:firstLine="720"/>
        <w:jc w:val="both"/>
        <w:rPr>
          <w:bCs/>
          <w:lang w:val="es-ES"/>
        </w:rPr>
      </w:pPr>
      <w:r w:rsidRPr="000A2EB9">
        <w:rPr>
          <w:bCs/>
          <w:lang w:val="es-ES"/>
        </w:rPr>
        <w:t>Y</w:t>
      </w:r>
      <w:r w:rsidR="00486CC8" w:rsidRPr="000A2EB9">
        <w:rPr>
          <w:bCs/>
          <w:lang w:val="es-ES"/>
        </w:rPr>
        <w:t xml:space="preserve"> añadió </w:t>
      </w:r>
      <w:r w:rsidR="00F146C4" w:rsidRPr="000A2EB9">
        <w:rPr>
          <w:bCs/>
          <w:lang w:val="es-ES"/>
        </w:rPr>
        <w:t xml:space="preserve">la Corte Federal </w:t>
      </w:r>
      <w:r w:rsidR="00486CC8" w:rsidRPr="000A2EB9">
        <w:rPr>
          <w:bCs/>
          <w:lang w:val="es-ES"/>
        </w:rPr>
        <w:t xml:space="preserve">que también </w:t>
      </w:r>
      <w:r w:rsidRPr="000A2EB9">
        <w:rPr>
          <w:bCs/>
          <w:lang w:val="es-ES"/>
        </w:rPr>
        <w:t xml:space="preserve">ataca la libertad de los sindicatos simplemente inscriptos y la de sus representantes al protegerlos de manera menor que si se tratara de asociaciones con </w:t>
      </w:r>
      <w:r w:rsidR="00F146C4" w:rsidRPr="000A2EB9">
        <w:rPr>
          <w:bCs/>
          <w:lang w:val="es-ES"/>
        </w:rPr>
        <w:t>“</w:t>
      </w:r>
      <w:r w:rsidRPr="000A2EB9">
        <w:rPr>
          <w:bCs/>
          <w:lang w:val="es-ES"/>
        </w:rPr>
        <w:t>personería gremial</w:t>
      </w:r>
      <w:r w:rsidR="00F146C4" w:rsidRPr="000A2EB9">
        <w:rPr>
          <w:bCs/>
          <w:lang w:val="es-ES"/>
        </w:rPr>
        <w:t>”</w:t>
      </w:r>
      <w:r w:rsidRPr="000A2EB9">
        <w:rPr>
          <w:bCs/>
          <w:lang w:val="es-ES"/>
        </w:rPr>
        <w:t xml:space="preserve">, en un terreno de la actividad sindical que también es propio de aquéllos, y en el cual, de consiguiente, no se admiten privilegios. </w:t>
      </w:r>
    </w:p>
    <w:p w14:paraId="576D6D48" w14:textId="5E08AE4C" w:rsidR="001A3CB4" w:rsidRPr="000A2EB9" w:rsidRDefault="00053B4A" w:rsidP="00F829E4">
      <w:pPr>
        <w:spacing w:line="360" w:lineRule="auto"/>
        <w:jc w:val="both"/>
        <w:rPr>
          <w:bCs/>
          <w:lang w:val="es-ES"/>
        </w:rPr>
      </w:pPr>
      <w:r w:rsidRPr="000A2EB9">
        <w:rPr>
          <w:bCs/>
          <w:lang w:val="es-ES"/>
        </w:rPr>
        <w:lastRenderedPageBreak/>
        <w:t xml:space="preserve"> </w:t>
      </w:r>
      <w:r w:rsidRPr="000A2EB9">
        <w:rPr>
          <w:bCs/>
          <w:lang w:val="es-ES"/>
        </w:rPr>
        <w:tab/>
      </w:r>
      <w:r w:rsidR="009758B5" w:rsidRPr="000A2EB9">
        <w:rPr>
          <w:bCs/>
          <w:lang w:val="es-ES"/>
        </w:rPr>
        <w:t xml:space="preserve">Tomó </w:t>
      </w:r>
      <w:r w:rsidR="00F146C4" w:rsidRPr="000A2EB9">
        <w:rPr>
          <w:bCs/>
          <w:lang w:val="es-ES"/>
        </w:rPr>
        <w:t xml:space="preserve">el voto de la mayoría </w:t>
      </w:r>
      <w:r w:rsidR="009758B5" w:rsidRPr="000A2EB9">
        <w:rPr>
          <w:bCs/>
          <w:lang w:val="es-ES"/>
        </w:rPr>
        <w:t>la opinión de la Comisión de Expertos en Aplicación de Convenios y Recomendaciones de la OIT en cuanto ha señalado en repetidas ocasiones que, no obstante la tutela general que prevé el artículo 47 de la ley 23.551 (</w:t>
      </w:r>
      <w:r w:rsidR="009758B5" w:rsidRPr="000A2EB9">
        <w:rPr>
          <w:rStyle w:val="Refdenotaalpie"/>
          <w:bCs/>
          <w:lang w:val="es-ES"/>
        </w:rPr>
        <w:footnoteReference w:id="14"/>
      </w:r>
      <w:r w:rsidR="009758B5" w:rsidRPr="000A2EB9">
        <w:rPr>
          <w:bCs/>
          <w:lang w:val="es-ES"/>
        </w:rPr>
        <w:t xml:space="preserve">), los artículos </w:t>
      </w:r>
      <w:r w:rsidR="00F829E4" w:rsidRPr="000A2EB9">
        <w:rPr>
          <w:bCs/>
          <w:lang w:val="es-ES"/>
        </w:rPr>
        <w:t>4</w:t>
      </w:r>
      <w:r w:rsidR="009758B5" w:rsidRPr="000A2EB9">
        <w:rPr>
          <w:bCs/>
          <w:lang w:val="es-ES"/>
        </w:rPr>
        <w:t>8 y</w:t>
      </w:r>
      <w:r w:rsidR="00F829E4" w:rsidRPr="000A2EB9">
        <w:rPr>
          <w:bCs/>
          <w:lang w:val="es-ES"/>
        </w:rPr>
        <w:t xml:space="preserve"> </w:t>
      </w:r>
      <w:r w:rsidR="009758B5" w:rsidRPr="000A2EB9">
        <w:rPr>
          <w:bCs/>
          <w:lang w:val="es-ES"/>
        </w:rPr>
        <w:t>52 establecen un trato de favor a los representantes</w:t>
      </w:r>
      <w:r w:rsidR="00F829E4" w:rsidRPr="000A2EB9">
        <w:rPr>
          <w:bCs/>
          <w:lang w:val="es-ES"/>
        </w:rPr>
        <w:t xml:space="preserve"> </w:t>
      </w:r>
      <w:r w:rsidR="009758B5" w:rsidRPr="000A2EB9">
        <w:rPr>
          <w:bCs/>
          <w:lang w:val="es-ES"/>
        </w:rPr>
        <w:t>de las organizaciones con personería gremial en caso de actos</w:t>
      </w:r>
      <w:r w:rsidR="00F829E4" w:rsidRPr="000A2EB9">
        <w:rPr>
          <w:bCs/>
          <w:lang w:val="es-ES"/>
        </w:rPr>
        <w:t xml:space="preserve"> </w:t>
      </w:r>
      <w:r w:rsidR="009758B5" w:rsidRPr="000A2EB9">
        <w:rPr>
          <w:bCs/>
          <w:lang w:val="es-ES"/>
        </w:rPr>
        <w:t>de discriminación antisindical que excede de</w:t>
      </w:r>
      <w:r w:rsidR="00F829E4" w:rsidRPr="000A2EB9">
        <w:rPr>
          <w:bCs/>
          <w:lang w:val="es-ES"/>
        </w:rPr>
        <w:t xml:space="preserve"> </w:t>
      </w:r>
      <w:r w:rsidR="009758B5" w:rsidRPr="000A2EB9">
        <w:rPr>
          <w:bCs/>
          <w:lang w:val="es-ES"/>
        </w:rPr>
        <w:t>los privilegios que pueden otorgarse a las organizaciones más</w:t>
      </w:r>
      <w:r w:rsidR="00F829E4" w:rsidRPr="000A2EB9">
        <w:rPr>
          <w:bCs/>
          <w:lang w:val="es-ES"/>
        </w:rPr>
        <w:t xml:space="preserve"> </w:t>
      </w:r>
      <w:r w:rsidR="009758B5" w:rsidRPr="000A2EB9">
        <w:rPr>
          <w:bCs/>
          <w:lang w:val="es-ES"/>
        </w:rPr>
        <w:t>representativas</w:t>
      </w:r>
      <w:r w:rsidR="00F829E4" w:rsidRPr="000A2EB9">
        <w:rPr>
          <w:bCs/>
          <w:lang w:val="es-ES"/>
        </w:rPr>
        <w:t xml:space="preserve"> que, según tiene declarada esa Comisión, deben limitarse a </w:t>
      </w:r>
      <w:r w:rsidR="009758B5" w:rsidRPr="000A2EB9">
        <w:rPr>
          <w:bCs/>
          <w:lang w:val="es-ES"/>
        </w:rPr>
        <w:t>una prioridad en materia de</w:t>
      </w:r>
      <w:r w:rsidR="00F829E4" w:rsidRPr="000A2EB9">
        <w:rPr>
          <w:bCs/>
          <w:lang w:val="es-ES"/>
        </w:rPr>
        <w:t xml:space="preserve"> </w:t>
      </w:r>
      <w:r w:rsidR="009758B5" w:rsidRPr="000A2EB9">
        <w:rPr>
          <w:bCs/>
          <w:lang w:val="es-ES"/>
        </w:rPr>
        <w:t>representación en las negociaciones colectivas, en la consulta</w:t>
      </w:r>
      <w:r w:rsidR="00F829E4" w:rsidRPr="000A2EB9">
        <w:rPr>
          <w:bCs/>
          <w:lang w:val="es-ES"/>
        </w:rPr>
        <w:t xml:space="preserve"> </w:t>
      </w:r>
      <w:r w:rsidR="009758B5" w:rsidRPr="000A2EB9">
        <w:rPr>
          <w:bCs/>
          <w:lang w:val="es-ES"/>
        </w:rPr>
        <w:t>por las autoridades y en la designación de los delegados ante</w:t>
      </w:r>
      <w:r w:rsidR="00F829E4" w:rsidRPr="000A2EB9">
        <w:rPr>
          <w:bCs/>
          <w:lang w:val="es-ES"/>
        </w:rPr>
        <w:t xml:space="preserve"> </w:t>
      </w:r>
      <w:r w:rsidR="009758B5" w:rsidRPr="000A2EB9">
        <w:rPr>
          <w:bCs/>
          <w:lang w:val="es-ES"/>
        </w:rPr>
        <w:t>los organismos internacionales</w:t>
      </w:r>
      <w:r w:rsidR="00F829E4" w:rsidRPr="000A2EB9">
        <w:rPr>
          <w:bCs/>
          <w:lang w:val="es-ES"/>
        </w:rPr>
        <w:t>.</w:t>
      </w:r>
    </w:p>
    <w:p w14:paraId="47F23505" w14:textId="46563922" w:rsidR="00FD1226" w:rsidRPr="000A2EB9" w:rsidRDefault="00F829E4" w:rsidP="00FD1226">
      <w:pPr>
        <w:spacing w:line="360" w:lineRule="auto"/>
        <w:jc w:val="both"/>
        <w:rPr>
          <w:bCs/>
          <w:lang w:val="es-ES"/>
        </w:rPr>
      </w:pPr>
      <w:r w:rsidRPr="000A2EB9">
        <w:rPr>
          <w:bCs/>
          <w:lang w:val="es-ES"/>
        </w:rPr>
        <w:tab/>
      </w:r>
      <w:r w:rsidR="00A46A9A" w:rsidRPr="000A2EB9">
        <w:rPr>
          <w:bCs/>
          <w:lang w:val="es-ES"/>
        </w:rPr>
        <w:t>En ese sentido, en la causa “Ros</w:t>
      </w:r>
      <w:r w:rsidR="00FD1226" w:rsidRPr="000A2EB9">
        <w:rPr>
          <w:bCs/>
          <w:lang w:val="es-ES"/>
        </w:rPr>
        <w:t>si” el Alto Tribunal argentino memoró que ya desde 1989 esa Comisión se pronunció en términos desfavorables a la compatibilidad de la ley 23.551, d</w:t>
      </w:r>
      <w:r w:rsidR="00F146C4" w:rsidRPr="000A2EB9">
        <w:rPr>
          <w:bCs/>
          <w:lang w:val="es-ES"/>
        </w:rPr>
        <w:t xml:space="preserve">ictada </w:t>
      </w:r>
      <w:r w:rsidR="00FD1226" w:rsidRPr="000A2EB9">
        <w:rPr>
          <w:bCs/>
          <w:lang w:val="es-ES"/>
        </w:rPr>
        <w:t>e</w:t>
      </w:r>
      <w:r w:rsidR="00F146C4" w:rsidRPr="000A2EB9">
        <w:rPr>
          <w:bCs/>
          <w:lang w:val="es-ES"/>
        </w:rPr>
        <w:t>n</w:t>
      </w:r>
      <w:r w:rsidR="00FD1226" w:rsidRPr="000A2EB9">
        <w:rPr>
          <w:bCs/>
          <w:lang w:val="es-ES"/>
        </w:rPr>
        <w:t xml:space="preserve"> 1988, con el Convenio 87, en cuanto a la exclusión de los representantes gremiales de los sindicatos sólo inscriptos de la protección que dispensaba, mediante los artículos 48 y 52, a los pertenecientes a sindicatos con personería gremial. </w:t>
      </w:r>
    </w:p>
    <w:p w14:paraId="76A0BD87" w14:textId="033D0F23" w:rsidR="00D821F1" w:rsidRPr="000A2EB9" w:rsidRDefault="00FD1226" w:rsidP="00FD1226">
      <w:pPr>
        <w:spacing w:line="360" w:lineRule="auto"/>
        <w:ind w:firstLine="720"/>
        <w:jc w:val="both"/>
        <w:rPr>
          <w:bCs/>
          <w:lang w:val="es-ES"/>
        </w:rPr>
      </w:pPr>
      <w:r w:rsidRPr="000A2EB9">
        <w:rPr>
          <w:bCs/>
          <w:lang w:val="es-ES"/>
        </w:rPr>
        <w:t xml:space="preserve">Por ende, el Supremo Tribunal declaró </w:t>
      </w:r>
      <w:r w:rsidR="00F146C4" w:rsidRPr="000A2EB9">
        <w:rPr>
          <w:bCs/>
          <w:lang w:val="es-ES"/>
        </w:rPr>
        <w:t xml:space="preserve">por mayoría </w:t>
      </w:r>
      <w:r w:rsidRPr="000A2EB9">
        <w:rPr>
          <w:bCs/>
          <w:lang w:val="es-ES"/>
        </w:rPr>
        <w:t>la inconstitucionalidad del artículo 52 de la ley 23.551, en la medida en que excluy</w:t>
      </w:r>
      <w:r w:rsidR="00F146C4" w:rsidRPr="000A2EB9">
        <w:rPr>
          <w:bCs/>
          <w:lang w:val="es-ES"/>
        </w:rPr>
        <w:t>ó</w:t>
      </w:r>
      <w:r w:rsidRPr="000A2EB9">
        <w:rPr>
          <w:bCs/>
          <w:lang w:val="es-ES"/>
        </w:rPr>
        <w:t xml:space="preserve"> a la actora del goce de la tutela otorgada por este último a los representantes de asociaciones con personería gremial, por ser representante (presidenta) de una asociación sindical, Asociación de Profesionales de la Salud del Hospital Naval (PROSANA), la cual, no obstante comprender en su ámbito a la relación de trabajo de dicha representante, tiene el carácter de </w:t>
      </w:r>
      <w:r w:rsidR="00F146C4" w:rsidRPr="000A2EB9">
        <w:rPr>
          <w:bCs/>
          <w:lang w:val="es-ES"/>
        </w:rPr>
        <w:t>“</w:t>
      </w:r>
      <w:r w:rsidRPr="000A2EB9">
        <w:rPr>
          <w:bCs/>
          <w:lang w:val="es-ES"/>
        </w:rPr>
        <w:t>simplemente inscripta</w:t>
      </w:r>
      <w:r w:rsidR="00F146C4" w:rsidRPr="000A2EB9">
        <w:rPr>
          <w:bCs/>
          <w:lang w:val="es-ES"/>
        </w:rPr>
        <w:t>”</w:t>
      </w:r>
      <w:r w:rsidRPr="000A2EB9">
        <w:rPr>
          <w:bCs/>
          <w:lang w:val="es-ES"/>
        </w:rPr>
        <w:t xml:space="preserve"> y exist</w:t>
      </w:r>
      <w:r w:rsidR="00F146C4" w:rsidRPr="000A2EB9">
        <w:rPr>
          <w:bCs/>
          <w:lang w:val="es-ES"/>
        </w:rPr>
        <w:t>ir</w:t>
      </w:r>
      <w:r w:rsidRPr="000A2EB9">
        <w:rPr>
          <w:bCs/>
          <w:lang w:val="es-ES"/>
        </w:rPr>
        <w:t xml:space="preserve"> otro sindicato con personería gremial en ese ámbito.</w:t>
      </w:r>
    </w:p>
    <w:p w14:paraId="6639853B" w14:textId="733C9891" w:rsidR="00FD1226" w:rsidRPr="000A2EB9" w:rsidRDefault="000C3150" w:rsidP="00FD1226">
      <w:pPr>
        <w:spacing w:line="360" w:lineRule="auto"/>
        <w:ind w:firstLine="720"/>
        <w:jc w:val="both"/>
        <w:rPr>
          <w:bCs/>
          <w:lang w:val="es-ES"/>
        </w:rPr>
      </w:pPr>
      <w:r w:rsidRPr="000A2EB9">
        <w:rPr>
          <w:bCs/>
          <w:lang w:val="es-ES"/>
        </w:rPr>
        <w:t xml:space="preserve">En el tercer caso de esta saga jurisprudencial, la Corte Suprema se ocupó de la limitación que la ley 23.551 </w:t>
      </w:r>
      <w:r w:rsidR="00752E9F" w:rsidRPr="000A2EB9">
        <w:rPr>
          <w:bCs/>
          <w:lang w:val="es-ES"/>
        </w:rPr>
        <w:t>impone de acuerdo al art. 31 inciso a),</w:t>
      </w:r>
      <w:r w:rsidRPr="000A2EB9">
        <w:rPr>
          <w:bCs/>
          <w:lang w:val="es-ES"/>
        </w:rPr>
        <w:t xml:space="preserve"> según fue anticipado en esta reseña, </w:t>
      </w:r>
      <w:r w:rsidR="00752E9F" w:rsidRPr="000A2EB9">
        <w:rPr>
          <w:bCs/>
          <w:lang w:val="es-ES"/>
        </w:rPr>
        <w:t>a los entes gremiales que no hayan obtenido la “personería gremial” para peticionar en representación de los trabajadores representados.</w:t>
      </w:r>
    </w:p>
    <w:p w14:paraId="61291C33" w14:textId="0B852F44" w:rsidR="00752E9F" w:rsidRPr="000A2EB9" w:rsidRDefault="00752E9F" w:rsidP="0007406A">
      <w:pPr>
        <w:spacing w:line="360" w:lineRule="auto"/>
        <w:jc w:val="both"/>
        <w:rPr>
          <w:bCs/>
          <w:lang w:val="es-ES"/>
        </w:rPr>
      </w:pPr>
      <w:r w:rsidRPr="000A2EB9">
        <w:rPr>
          <w:bCs/>
          <w:lang w:val="es-ES"/>
        </w:rPr>
        <w:tab/>
        <w:t xml:space="preserve">Me refiero a la sentencia dada el 18/06/2013 en la causa </w:t>
      </w:r>
      <w:r w:rsidR="00F146C4" w:rsidRPr="000A2EB9">
        <w:rPr>
          <w:b/>
          <w:i/>
          <w:iCs/>
          <w:lang w:val="es-ES"/>
        </w:rPr>
        <w:t>“</w:t>
      </w:r>
      <w:r w:rsidR="002D554E" w:rsidRPr="000A2EB9">
        <w:rPr>
          <w:b/>
          <w:i/>
          <w:iCs/>
          <w:lang w:val="es-ES"/>
        </w:rPr>
        <w:t>Asociación de Trabajadores del Estado (ATE</w:t>
      </w:r>
      <w:r w:rsidR="00F146C4" w:rsidRPr="000A2EB9">
        <w:rPr>
          <w:b/>
          <w:i/>
          <w:iCs/>
          <w:lang w:val="es-ES"/>
        </w:rPr>
        <w:t>)</w:t>
      </w:r>
      <w:r w:rsidRPr="000A2EB9">
        <w:rPr>
          <w:bCs/>
          <w:i/>
          <w:iCs/>
          <w:lang w:val="es-ES"/>
        </w:rPr>
        <w:t>”</w:t>
      </w:r>
      <w:r w:rsidR="002D554E" w:rsidRPr="000A2EB9">
        <w:rPr>
          <w:bCs/>
          <w:lang w:val="es-ES"/>
        </w:rPr>
        <w:t xml:space="preserve">; </w:t>
      </w:r>
      <w:r w:rsidR="00F146C4" w:rsidRPr="000A2EB9">
        <w:rPr>
          <w:bCs/>
          <w:lang w:val="es-ES"/>
        </w:rPr>
        <w:t xml:space="preserve">del </w:t>
      </w:r>
      <w:r w:rsidR="002D554E" w:rsidRPr="000A2EB9">
        <w:rPr>
          <w:bCs/>
          <w:lang w:val="es-ES"/>
        </w:rPr>
        <w:t xml:space="preserve">18/06/2013 </w:t>
      </w:r>
      <w:r w:rsidR="00F146C4" w:rsidRPr="000A2EB9">
        <w:rPr>
          <w:bCs/>
          <w:lang w:val="es-ES"/>
        </w:rPr>
        <w:t xml:space="preserve">juzgó </w:t>
      </w:r>
      <w:r w:rsidR="002D554E" w:rsidRPr="000A2EB9">
        <w:rPr>
          <w:bCs/>
          <w:lang w:val="es-ES"/>
        </w:rPr>
        <w:t xml:space="preserve">inconstitucionalidad </w:t>
      </w:r>
      <w:r w:rsidR="00F146C4" w:rsidRPr="000A2EB9">
        <w:rPr>
          <w:bCs/>
          <w:lang w:val="es-ES"/>
        </w:rPr>
        <w:t xml:space="preserve">el citado </w:t>
      </w:r>
      <w:r w:rsidR="002D554E" w:rsidRPr="000A2EB9">
        <w:rPr>
          <w:bCs/>
          <w:lang w:val="es-ES"/>
        </w:rPr>
        <w:t>art. 31 inc. a</w:t>
      </w:r>
      <w:r w:rsidR="00F146C4" w:rsidRPr="000A2EB9">
        <w:rPr>
          <w:bCs/>
          <w:lang w:val="es-ES"/>
        </w:rPr>
        <w:t>) de la</w:t>
      </w:r>
      <w:r w:rsidR="002D554E" w:rsidRPr="000A2EB9">
        <w:rPr>
          <w:bCs/>
          <w:lang w:val="es-ES"/>
        </w:rPr>
        <w:t xml:space="preserve"> ley 23.551, que </w:t>
      </w:r>
      <w:r w:rsidRPr="000A2EB9">
        <w:rPr>
          <w:bCs/>
          <w:lang w:val="es-ES"/>
        </w:rPr>
        <w:t>reserva la defensa y representación ante el Estado y los empleadores de los intereses individuales y colectivos de los trabajadores a las asociaciones con “personería gremial”.</w:t>
      </w:r>
    </w:p>
    <w:p w14:paraId="02F2F0A6" w14:textId="55A87AC2" w:rsidR="002D554E" w:rsidRPr="000A2EB9" w:rsidRDefault="00752E9F" w:rsidP="0007406A">
      <w:pPr>
        <w:spacing w:line="360" w:lineRule="auto"/>
        <w:jc w:val="both"/>
        <w:rPr>
          <w:bCs/>
          <w:lang w:val="es-ES"/>
        </w:rPr>
      </w:pPr>
      <w:r w:rsidRPr="000A2EB9">
        <w:rPr>
          <w:bCs/>
          <w:lang w:val="es-ES"/>
        </w:rPr>
        <w:tab/>
        <w:t xml:space="preserve">La asociación demandante, ATE nuevamente, </w:t>
      </w:r>
      <w:r w:rsidR="00B70664" w:rsidRPr="000A2EB9">
        <w:rPr>
          <w:bCs/>
          <w:lang w:val="es-ES"/>
        </w:rPr>
        <w:t xml:space="preserve">junto a un trabajador </w:t>
      </w:r>
      <w:r w:rsidR="00917073" w:rsidRPr="000A2EB9">
        <w:rPr>
          <w:bCs/>
          <w:lang w:val="es-ES"/>
        </w:rPr>
        <w:t>de la Municipalidad de Salta, el Sr. Molina,</w:t>
      </w:r>
      <w:r w:rsidR="00B70664" w:rsidRPr="000A2EB9">
        <w:rPr>
          <w:bCs/>
          <w:lang w:val="es-ES"/>
        </w:rPr>
        <w:t xml:space="preserve"> </w:t>
      </w:r>
      <w:r w:rsidRPr="000A2EB9">
        <w:rPr>
          <w:bCs/>
          <w:lang w:val="es-ES"/>
        </w:rPr>
        <w:t xml:space="preserve">quiso cuestionar </w:t>
      </w:r>
      <w:r w:rsidR="00B70664" w:rsidRPr="000A2EB9">
        <w:rPr>
          <w:bCs/>
          <w:lang w:val="es-ES"/>
        </w:rPr>
        <w:t xml:space="preserve">la rebaja de las remuneraciones del personal de la Intendencia, decidida por decreto del Intendente y se le negó legitimación activa para tal planteo en una acción colectiva </w:t>
      </w:r>
      <w:r w:rsidR="00F146C4" w:rsidRPr="000A2EB9">
        <w:rPr>
          <w:bCs/>
          <w:lang w:val="es-ES"/>
        </w:rPr>
        <w:t xml:space="preserve">con el argumento de que existía </w:t>
      </w:r>
      <w:r w:rsidR="00B70664" w:rsidRPr="000A2EB9">
        <w:rPr>
          <w:bCs/>
          <w:lang w:val="es-ES"/>
        </w:rPr>
        <w:t>una entidad con “personería gremial”, la Unión de Trabajadores Municipales de Salta.</w:t>
      </w:r>
      <w:r w:rsidR="00E8198F" w:rsidRPr="000A2EB9">
        <w:rPr>
          <w:bCs/>
          <w:lang w:val="es-ES"/>
        </w:rPr>
        <w:t xml:space="preserve"> El reclamo del coactor </w:t>
      </w:r>
      <w:r w:rsidR="00917073" w:rsidRPr="000A2EB9">
        <w:rPr>
          <w:bCs/>
          <w:lang w:val="es-ES"/>
        </w:rPr>
        <w:t xml:space="preserve"> Sr. Molina </w:t>
      </w:r>
      <w:r w:rsidR="00E8198F" w:rsidRPr="000A2EB9">
        <w:rPr>
          <w:bCs/>
          <w:lang w:val="es-ES"/>
        </w:rPr>
        <w:t xml:space="preserve">a título personal fue desestimado por el fondo de la cuestión, tema que será descripto en otro tramo de este trabajo, por lo que no cabe </w:t>
      </w:r>
      <w:r w:rsidR="00E8198F" w:rsidRPr="000A2EB9">
        <w:rPr>
          <w:bCs/>
          <w:lang w:val="es-ES"/>
        </w:rPr>
        <w:lastRenderedPageBreak/>
        <w:t>hacer más consideraciones en este momento al respecto</w:t>
      </w:r>
      <w:r w:rsidR="00917073" w:rsidRPr="000A2EB9">
        <w:rPr>
          <w:bCs/>
          <w:lang w:val="es-ES"/>
        </w:rPr>
        <w:t xml:space="preserve"> (</w:t>
      </w:r>
      <w:r w:rsidR="00917073" w:rsidRPr="000A2EB9">
        <w:rPr>
          <w:rStyle w:val="Refdenotaalpie"/>
          <w:bCs/>
          <w:lang w:val="es-ES"/>
        </w:rPr>
        <w:footnoteReference w:id="15"/>
      </w:r>
      <w:r w:rsidR="00917073" w:rsidRPr="000A2EB9">
        <w:rPr>
          <w:bCs/>
          <w:lang w:val="es-ES"/>
        </w:rPr>
        <w:t>)</w:t>
      </w:r>
      <w:r w:rsidR="00E8198F" w:rsidRPr="000A2EB9">
        <w:rPr>
          <w:bCs/>
          <w:lang w:val="es-ES"/>
        </w:rPr>
        <w:t xml:space="preserve">, siendo lo relevante </w:t>
      </w:r>
      <w:r w:rsidR="00F146C4" w:rsidRPr="000A2EB9">
        <w:rPr>
          <w:bCs/>
          <w:lang w:val="es-ES"/>
        </w:rPr>
        <w:t xml:space="preserve">aquí </w:t>
      </w:r>
      <w:r w:rsidR="00E8198F" w:rsidRPr="000A2EB9">
        <w:rPr>
          <w:bCs/>
          <w:lang w:val="es-ES"/>
        </w:rPr>
        <w:t>examinar la postura expuesta por el Alto Tribunal nacional respecto del planteo llevado a sus estrados por ATE.</w:t>
      </w:r>
    </w:p>
    <w:p w14:paraId="62BA40A5" w14:textId="65235BA6" w:rsidR="00634320" w:rsidRPr="000A2EB9" w:rsidRDefault="00917073" w:rsidP="0007406A">
      <w:pPr>
        <w:spacing w:line="360" w:lineRule="auto"/>
        <w:jc w:val="both"/>
        <w:rPr>
          <w:bCs/>
          <w:lang w:val="es-ES"/>
        </w:rPr>
      </w:pPr>
      <w:r w:rsidRPr="000A2EB9">
        <w:rPr>
          <w:bCs/>
          <w:lang w:val="es-ES"/>
        </w:rPr>
        <w:tab/>
        <w:t>En esta decisión el Máximo Tribunal</w:t>
      </w:r>
      <w:r w:rsidR="00D81A4E" w:rsidRPr="000A2EB9">
        <w:rPr>
          <w:bCs/>
          <w:lang w:val="es-ES"/>
        </w:rPr>
        <w:t>, con el voto de los magistrados Fayt, Petracchi, Maqueda y Zaffaroni,</w:t>
      </w:r>
      <w:r w:rsidRPr="000A2EB9">
        <w:rPr>
          <w:bCs/>
          <w:lang w:val="es-ES"/>
        </w:rPr>
        <w:t xml:space="preserve"> comenzó remitiéndose a los fundamentos expuestos en los precedentes “ATE” del 11/11/2008 y “Rossi” de fecha 09/12/2009 en el sentido de que </w:t>
      </w:r>
      <w:r w:rsidR="000258A0" w:rsidRPr="000A2EB9">
        <w:rPr>
          <w:bCs/>
          <w:lang w:val="es-ES"/>
        </w:rPr>
        <w:t xml:space="preserve">la libertad sindical es un principio arquitectónico que sostienen e imponen la Constitución Nacional, en su art. 14 bis y el corpus iuris proveniente del Derecho Internacional de los Derechos Humanos, </w:t>
      </w:r>
      <w:r w:rsidR="00BC58D1" w:rsidRPr="000A2EB9">
        <w:rPr>
          <w:bCs/>
          <w:lang w:val="es-ES"/>
        </w:rPr>
        <w:t>y que</w:t>
      </w:r>
      <w:r w:rsidR="000258A0" w:rsidRPr="000A2EB9">
        <w:rPr>
          <w:bCs/>
          <w:lang w:val="es-ES"/>
        </w:rPr>
        <w:t xml:space="preserve"> el aludido principio constitucional consagra la libertad para todos los sindicatos con el propósito de que puedan realizar sus actividades sin obstáculos o limitaciones del Estado que reduzcan, injustificadamente, las funciones que les son propias: la promoción, ejercicio, defensa, fomento y protección de los intereses leg</w:t>
      </w:r>
      <w:r w:rsidR="00E6547E" w:rsidRPr="000A2EB9">
        <w:rPr>
          <w:bCs/>
          <w:lang w:val="es-ES"/>
        </w:rPr>
        <w:t>í</w:t>
      </w:r>
      <w:r w:rsidR="000258A0" w:rsidRPr="000A2EB9">
        <w:rPr>
          <w:bCs/>
          <w:lang w:val="es-ES"/>
        </w:rPr>
        <w:t>timos de orden gremial</w:t>
      </w:r>
      <w:r w:rsidR="00BC58D1" w:rsidRPr="000A2EB9">
        <w:rPr>
          <w:bCs/>
          <w:lang w:val="es-ES"/>
        </w:rPr>
        <w:t>.</w:t>
      </w:r>
    </w:p>
    <w:p w14:paraId="4F514F24" w14:textId="100E9C68" w:rsidR="00BC58D1" w:rsidRPr="000A2EB9" w:rsidRDefault="00BC58D1" w:rsidP="0007406A">
      <w:pPr>
        <w:spacing w:line="360" w:lineRule="auto"/>
        <w:jc w:val="both"/>
        <w:rPr>
          <w:bCs/>
          <w:lang w:val="es-ES"/>
        </w:rPr>
      </w:pPr>
      <w:r w:rsidRPr="000A2EB9">
        <w:rPr>
          <w:bCs/>
          <w:lang w:val="es-ES"/>
        </w:rPr>
        <w:tab/>
        <w:t>Recordó la Corte Federal que en sendos precedentes consideró inconstitucionales las disposiciones de la ley 23.551 que conceden a los entes sindicales reconocidos por el Estado con la “personería gremial” privilegios que exceden de una simple prioridad en materia de representación en las negociaciones colectivas, de consulta por las autoridades y de designación de delegados ante organismos internacionales, lo cual va en detrimento de la actividad de los sindicatos simplemente inscriptos que comparten con aquéllos, total o parcialmente, el mismo ámbito de actuación</w:t>
      </w:r>
      <w:r w:rsidR="009C605A" w:rsidRPr="000A2EB9">
        <w:rPr>
          <w:bCs/>
          <w:lang w:val="es-ES"/>
        </w:rPr>
        <w:t>.</w:t>
      </w:r>
    </w:p>
    <w:p w14:paraId="5A2F4D73" w14:textId="38DABDC8" w:rsidR="009C605A" w:rsidRPr="000A2EB9" w:rsidRDefault="009C605A" w:rsidP="009C605A">
      <w:pPr>
        <w:spacing w:line="360" w:lineRule="auto"/>
        <w:jc w:val="both"/>
        <w:rPr>
          <w:bCs/>
          <w:lang w:val="es-ES"/>
        </w:rPr>
      </w:pPr>
      <w:r w:rsidRPr="000A2EB9">
        <w:rPr>
          <w:bCs/>
          <w:lang w:val="es-ES"/>
        </w:rPr>
        <w:tab/>
        <w:t xml:space="preserve">Dado ese bagaje conceptual precedente, en este pronunciamiento el Máximo Tribunal sostuvo que el derecho invocado por la coactora ATE de representar los intereses colectivos de los trabajadores municipales a los efectos de promover </w:t>
      </w:r>
      <w:r w:rsidR="00A75235" w:rsidRPr="000A2EB9">
        <w:rPr>
          <w:bCs/>
          <w:lang w:val="es-ES"/>
        </w:rPr>
        <w:t xml:space="preserve">un </w:t>
      </w:r>
      <w:r w:rsidRPr="000A2EB9">
        <w:rPr>
          <w:bCs/>
          <w:lang w:val="es-ES"/>
        </w:rPr>
        <w:t xml:space="preserve">reclamo judicial está </w:t>
      </w:r>
      <w:r w:rsidR="00A75235" w:rsidRPr="000A2EB9">
        <w:rPr>
          <w:bCs/>
          <w:lang w:val="es-ES"/>
        </w:rPr>
        <w:t>inequívocamente</w:t>
      </w:r>
      <w:r w:rsidRPr="000A2EB9">
        <w:rPr>
          <w:bCs/>
          <w:lang w:val="es-ES"/>
        </w:rPr>
        <w:t xml:space="preserve"> reconocido por las aludidas normas de jerarquía constitucional, conjunto normativo con el que choca el inciso a) del art. 31 de la ley 23.551.</w:t>
      </w:r>
    </w:p>
    <w:p w14:paraId="46163267" w14:textId="1F723C35" w:rsidR="002D554E" w:rsidRPr="000A2EB9" w:rsidRDefault="009C605A" w:rsidP="0007406A">
      <w:pPr>
        <w:spacing w:line="360" w:lineRule="auto"/>
        <w:jc w:val="both"/>
        <w:rPr>
          <w:bCs/>
          <w:lang w:val="es-ES"/>
        </w:rPr>
      </w:pPr>
      <w:r w:rsidRPr="000A2EB9">
        <w:rPr>
          <w:bCs/>
          <w:lang w:val="es-ES"/>
        </w:rPr>
        <w:tab/>
        <w:t xml:space="preserve">Resta decir que el 11/12/2014 la Corte Suprema </w:t>
      </w:r>
      <w:r w:rsidR="00845898" w:rsidRPr="000A2EB9">
        <w:rPr>
          <w:bCs/>
          <w:lang w:val="es-ES"/>
        </w:rPr>
        <w:t xml:space="preserve">subrayó la relevancia de la doctrina de los tres fallos reseñados pues </w:t>
      </w:r>
      <w:r w:rsidRPr="000A2EB9">
        <w:rPr>
          <w:bCs/>
          <w:lang w:val="es-ES"/>
        </w:rPr>
        <w:t xml:space="preserve">en la causa </w:t>
      </w:r>
      <w:r w:rsidRPr="000A2EB9">
        <w:rPr>
          <w:b/>
          <w:lang w:val="es-ES"/>
        </w:rPr>
        <w:t>“</w:t>
      </w:r>
      <w:r w:rsidR="002D554E" w:rsidRPr="000A2EB9">
        <w:rPr>
          <w:b/>
          <w:lang w:val="es-ES"/>
        </w:rPr>
        <w:t>Codina, Héctor c/ Roca Argentina SA</w:t>
      </w:r>
      <w:r w:rsidRPr="000A2EB9">
        <w:rPr>
          <w:b/>
          <w:lang w:val="es-ES"/>
        </w:rPr>
        <w:t>”</w:t>
      </w:r>
      <w:r w:rsidRPr="000A2EB9">
        <w:rPr>
          <w:bCs/>
          <w:lang w:val="es-ES"/>
        </w:rPr>
        <w:t xml:space="preserve"> la Corte Suprema, </w:t>
      </w:r>
      <w:r w:rsidR="0038054E" w:rsidRPr="000A2EB9">
        <w:rPr>
          <w:bCs/>
          <w:lang w:val="es-ES"/>
        </w:rPr>
        <w:t xml:space="preserve">por el voto mayoritario de los jueces Fayt, Maqueda y Zaffaroni, </w:t>
      </w:r>
      <w:r w:rsidRPr="000A2EB9">
        <w:rPr>
          <w:bCs/>
          <w:lang w:val="es-ES"/>
        </w:rPr>
        <w:t xml:space="preserve">sin entrar en el tema de fondo, </w:t>
      </w:r>
      <w:r w:rsidR="00845898" w:rsidRPr="000A2EB9">
        <w:rPr>
          <w:bCs/>
          <w:lang w:val="es-ES"/>
        </w:rPr>
        <w:t>reprochó a</w:t>
      </w:r>
      <w:r w:rsidRPr="000A2EB9">
        <w:rPr>
          <w:bCs/>
          <w:lang w:val="es-ES"/>
        </w:rPr>
        <w:t>l tribunal a quo</w:t>
      </w:r>
      <w:r w:rsidR="00845898" w:rsidRPr="000A2EB9">
        <w:rPr>
          <w:bCs/>
          <w:lang w:val="es-ES"/>
        </w:rPr>
        <w:t>, la Sala VIII de la CNAT,</w:t>
      </w:r>
      <w:r w:rsidRPr="000A2EB9">
        <w:rPr>
          <w:bCs/>
          <w:lang w:val="es-ES"/>
        </w:rPr>
        <w:t xml:space="preserve"> no </w:t>
      </w:r>
      <w:r w:rsidR="00845898" w:rsidRPr="000A2EB9">
        <w:rPr>
          <w:bCs/>
          <w:lang w:val="es-ES"/>
        </w:rPr>
        <w:t xml:space="preserve">haber </w:t>
      </w:r>
      <w:r w:rsidRPr="000A2EB9">
        <w:rPr>
          <w:bCs/>
          <w:lang w:val="es-ES"/>
        </w:rPr>
        <w:t>examin</w:t>
      </w:r>
      <w:r w:rsidR="00845898" w:rsidRPr="000A2EB9">
        <w:rPr>
          <w:bCs/>
          <w:lang w:val="es-ES"/>
        </w:rPr>
        <w:t xml:space="preserve">ado de oficio la inconstitucionalidad de la norma en juego, el art. 52 de la ley 23.551, en un caso en el que se había desestimado la pretensión del demandante por ser representante de una </w:t>
      </w:r>
      <w:r w:rsidR="002D554E" w:rsidRPr="000A2EB9">
        <w:rPr>
          <w:bCs/>
          <w:lang w:val="es-ES"/>
        </w:rPr>
        <w:t>asociación simplemente inscripta</w:t>
      </w:r>
      <w:r w:rsidR="00845898" w:rsidRPr="000A2EB9">
        <w:rPr>
          <w:bCs/>
          <w:lang w:val="es-ES"/>
        </w:rPr>
        <w:t xml:space="preserve"> (</w:t>
      </w:r>
      <w:r w:rsidR="00845898" w:rsidRPr="000A2EB9">
        <w:rPr>
          <w:rStyle w:val="Refdenotaalpie"/>
          <w:bCs/>
          <w:lang w:val="es-ES"/>
        </w:rPr>
        <w:footnoteReference w:id="16"/>
      </w:r>
      <w:r w:rsidR="00845898" w:rsidRPr="000A2EB9">
        <w:rPr>
          <w:bCs/>
          <w:lang w:val="es-ES"/>
        </w:rPr>
        <w:t>)</w:t>
      </w:r>
      <w:r w:rsidR="002D554E" w:rsidRPr="000A2EB9">
        <w:rPr>
          <w:bCs/>
          <w:lang w:val="es-ES"/>
        </w:rPr>
        <w:t>.</w:t>
      </w:r>
      <w:r w:rsidR="00845898" w:rsidRPr="000A2EB9">
        <w:rPr>
          <w:bCs/>
          <w:lang w:val="es-ES"/>
        </w:rPr>
        <w:t xml:space="preserve"> Lo traigo a colación puesto que este pronunciamiento evidencia la línea marcada por el </w:t>
      </w:r>
      <w:r w:rsidR="00845898" w:rsidRPr="000A2EB9">
        <w:rPr>
          <w:bCs/>
          <w:lang w:val="es-ES"/>
        </w:rPr>
        <w:lastRenderedPageBreak/>
        <w:t xml:space="preserve">Máximo Tribunal en procura de que se sigan sus pronunciamientos cuando versan sobre validez constitucional o convencional de las normas. </w:t>
      </w:r>
    </w:p>
    <w:p w14:paraId="7C7C85A2" w14:textId="72B82874" w:rsidR="0038054E" w:rsidRPr="000A2EB9" w:rsidRDefault="0038054E" w:rsidP="0007406A">
      <w:pPr>
        <w:spacing w:line="360" w:lineRule="auto"/>
        <w:jc w:val="both"/>
        <w:rPr>
          <w:bCs/>
          <w:lang w:val="es-ES"/>
        </w:rPr>
      </w:pPr>
      <w:r w:rsidRPr="000A2EB9">
        <w:rPr>
          <w:bCs/>
          <w:lang w:val="es-ES"/>
        </w:rPr>
        <w:tab/>
        <w:t>Los magistrados Lorenzetti y Highton votaron en disidencia, proponiendo declarar inadmisible el recurso extraordinario en los términos del art. 280 del Código Procesal Civil y Comercial de la Nación (</w:t>
      </w:r>
      <w:r w:rsidRPr="000A2EB9">
        <w:rPr>
          <w:rStyle w:val="Refdenotaalpie"/>
          <w:bCs/>
          <w:lang w:val="es-ES"/>
        </w:rPr>
        <w:footnoteReference w:id="17"/>
      </w:r>
      <w:r w:rsidRPr="000A2EB9">
        <w:rPr>
          <w:bCs/>
          <w:lang w:val="es-ES"/>
        </w:rPr>
        <w:t xml:space="preserve">). </w:t>
      </w:r>
    </w:p>
    <w:p w14:paraId="1A8E9C18" w14:textId="5201B569" w:rsidR="004E003D" w:rsidRPr="000A2EB9" w:rsidRDefault="0014125F" w:rsidP="004E003D">
      <w:pPr>
        <w:spacing w:line="360" w:lineRule="auto"/>
        <w:jc w:val="both"/>
        <w:rPr>
          <w:b/>
          <w:lang w:val="es-ES"/>
        </w:rPr>
      </w:pPr>
      <w:r w:rsidRPr="000A2EB9">
        <w:rPr>
          <w:bCs/>
          <w:lang w:val="es-ES"/>
        </w:rPr>
        <w:tab/>
        <w:t xml:space="preserve">En un plano de mucha menor trascendencia jurídica, </w:t>
      </w:r>
      <w:r w:rsidR="000F205A" w:rsidRPr="000A2EB9">
        <w:rPr>
          <w:bCs/>
          <w:lang w:val="es-ES"/>
        </w:rPr>
        <w:t>el Máximo Tribunal argentino se introdujo en la interpretación del art. 50 de la ley 23.551, relativo a la tutela sindical otorgada a los candidatos</w:t>
      </w:r>
      <w:r w:rsidR="004E003D" w:rsidRPr="000A2EB9">
        <w:rPr>
          <w:bCs/>
          <w:lang w:val="es-ES"/>
        </w:rPr>
        <w:t xml:space="preserve"> al intervenir en el expediente </w:t>
      </w:r>
      <w:r w:rsidR="004E003D" w:rsidRPr="000A2EB9">
        <w:rPr>
          <w:b/>
          <w:lang w:val="es-ES"/>
        </w:rPr>
        <w:t>"De Caso, Andrea Lorena c/ Cascada SRL”</w:t>
      </w:r>
      <w:r w:rsidR="004E003D" w:rsidRPr="000A2EB9">
        <w:rPr>
          <w:bCs/>
          <w:lang w:val="es-ES"/>
        </w:rPr>
        <w:t>, decidido el 23/02/2016 con el voto de los magistrados Lorenzetti, Highton y Maqueda.</w:t>
      </w:r>
    </w:p>
    <w:p w14:paraId="3D23CC26" w14:textId="3E847F2F" w:rsidR="00A75235" w:rsidRPr="000A2EB9" w:rsidRDefault="000F205A" w:rsidP="004E003D">
      <w:pPr>
        <w:spacing w:line="360" w:lineRule="auto"/>
        <w:ind w:firstLine="720"/>
        <w:jc w:val="both"/>
        <w:rPr>
          <w:bCs/>
          <w:lang w:val="es-ES"/>
        </w:rPr>
      </w:pPr>
      <w:r w:rsidRPr="000A2EB9">
        <w:rPr>
          <w:bCs/>
          <w:lang w:val="es-ES"/>
        </w:rPr>
        <w:t xml:space="preserve">Es de señalar que en </w:t>
      </w:r>
      <w:r w:rsidR="00A75235" w:rsidRPr="000A2EB9">
        <w:rPr>
          <w:bCs/>
          <w:lang w:val="es-ES"/>
        </w:rPr>
        <w:t>dicha</w:t>
      </w:r>
      <w:r w:rsidRPr="000A2EB9">
        <w:rPr>
          <w:bCs/>
          <w:lang w:val="es-ES"/>
        </w:rPr>
        <w:t xml:space="preserve"> causa no estaba en juego el nivel constitucional ni convencional pero, de todos modos, la Corte Suprema decidió abrir la revisión extraordinaria con el argumento </w:t>
      </w:r>
      <w:r w:rsidR="00EC54D7" w:rsidRPr="000A2EB9">
        <w:rPr>
          <w:bCs/>
          <w:lang w:val="es-ES"/>
        </w:rPr>
        <w:t>de que la exégesis</w:t>
      </w:r>
      <w:r w:rsidR="00A75235" w:rsidRPr="000A2EB9">
        <w:rPr>
          <w:bCs/>
          <w:lang w:val="es-ES"/>
        </w:rPr>
        <w:t xml:space="preserve"> </w:t>
      </w:r>
      <w:r w:rsidR="00EC54D7" w:rsidRPr="000A2EB9">
        <w:rPr>
          <w:bCs/>
          <w:lang w:val="es-ES"/>
        </w:rPr>
        <w:t xml:space="preserve">que el </w:t>
      </w:r>
      <w:r w:rsidR="00A75235" w:rsidRPr="000A2EB9">
        <w:rPr>
          <w:bCs/>
          <w:lang w:val="es-ES"/>
        </w:rPr>
        <w:t>T</w:t>
      </w:r>
      <w:r w:rsidR="00EC54D7" w:rsidRPr="000A2EB9">
        <w:rPr>
          <w:bCs/>
          <w:lang w:val="es-ES"/>
        </w:rPr>
        <w:t xml:space="preserve">ribunal </w:t>
      </w:r>
      <w:r w:rsidR="004E003D" w:rsidRPr="000A2EB9">
        <w:rPr>
          <w:bCs/>
          <w:lang w:val="es-ES"/>
        </w:rPr>
        <w:t>Superior de Rio Negro</w:t>
      </w:r>
      <w:r w:rsidR="00EC54D7" w:rsidRPr="000A2EB9">
        <w:rPr>
          <w:bCs/>
          <w:lang w:val="es-ES"/>
        </w:rPr>
        <w:t xml:space="preserve"> hizo de la norma aplicable desvirtúa su contenido y no armoniza con las restantes disposiciones del cuerpo legal en el que se encuentra inserta, </w:t>
      </w:r>
      <w:r w:rsidRPr="000A2EB9">
        <w:rPr>
          <w:bCs/>
          <w:lang w:val="es-ES"/>
        </w:rPr>
        <w:t>lo que implicó una a</w:t>
      </w:r>
      <w:r w:rsidR="00EC54D7" w:rsidRPr="000A2EB9">
        <w:rPr>
          <w:bCs/>
          <w:lang w:val="es-ES"/>
        </w:rPr>
        <w:t xml:space="preserve">plicación de la antes mencionada </w:t>
      </w:r>
      <w:r w:rsidRPr="000A2EB9">
        <w:rPr>
          <w:bCs/>
          <w:lang w:val="es-ES"/>
        </w:rPr>
        <w:t>doctrina de la sentencia arbitraria</w:t>
      </w:r>
      <w:r w:rsidR="00EC54D7" w:rsidRPr="000A2EB9">
        <w:rPr>
          <w:bCs/>
          <w:lang w:val="es-ES"/>
        </w:rPr>
        <w:t xml:space="preserve">. </w:t>
      </w:r>
    </w:p>
    <w:p w14:paraId="1C218CB5" w14:textId="1E8C6B10" w:rsidR="002D554E" w:rsidRPr="000A2EB9" w:rsidRDefault="00A75235" w:rsidP="0007406A">
      <w:pPr>
        <w:spacing w:line="360" w:lineRule="auto"/>
        <w:jc w:val="both"/>
        <w:rPr>
          <w:bCs/>
          <w:lang w:val="es-ES"/>
        </w:rPr>
      </w:pPr>
      <w:r w:rsidRPr="000A2EB9">
        <w:rPr>
          <w:bCs/>
          <w:lang w:val="es-ES"/>
        </w:rPr>
        <w:t xml:space="preserve"> </w:t>
      </w:r>
      <w:r w:rsidRPr="000A2EB9">
        <w:rPr>
          <w:bCs/>
          <w:lang w:val="es-ES"/>
        </w:rPr>
        <w:tab/>
      </w:r>
      <w:r w:rsidR="00EC54D7" w:rsidRPr="000A2EB9">
        <w:rPr>
          <w:bCs/>
          <w:lang w:val="es-ES"/>
        </w:rPr>
        <w:t xml:space="preserve">Pese a esa estrecha puerta de entrada a la revisión extraordinaria, que como regla sólo llevaría a la descalificación del decisorio y la indicación de que se dicte otro </w:t>
      </w:r>
      <w:r w:rsidR="004E003D" w:rsidRPr="000A2EB9">
        <w:rPr>
          <w:bCs/>
          <w:lang w:val="es-ES"/>
        </w:rPr>
        <w:t>superando</w:t>
      </w:r>
      <w:r w:rsidR="00EC54D7" w:rsidRPr="000A2EB9">
        <w:rPr>
          <w:bCs/>
          <w:lang w:val="es-ES"/>
        </w:rPr>
        <w:t xml:space="preserve"> el defecto señalado, la Corte Suprema optó, además, </w:t>
      </w:r>
      <w:r w:rsidRPr="000A2EB9">
        <w:rPr>
          <w:bCs/>
          <w:lang w:val="es-ES"/>
        </w:rPr>
        <w:t xml:space="preserve">por </w:t>
      </w:r>
      <w:r w:rsidR="00EC54D7" w:rsidRPr="000A2EB9">
        <w:rPr>
          <w:bCs/>
          <w:lang w:val="es-ES"/>
        </w:rPr>
        <w:t>dar</w:t>
      </w:r>
      <w:r w:rsidR="000F205A" w:rsidRPr="000A2EB9">
        <w:rPr>
          <w:bCs/>
          <w:lang w:val="es-ES"/>
        </w:rPr>
        <w:t xml:space="preserve"> su interpretación del precepto mencionado pese a su naturaleza de derecho común.</w:t>
      </w:r>
    </w:p>
    <w:p w14:paraId="12948F73" w14:textId="01204FCF" w:rsidR="00083DEE" w:rsidRPr="000A2EB9" w:rsidRDefault="00083DEE" w:rsidP="0007406A">
      <w:pPr>
        <w:spacing w:line="360" w:lineRule="auto"/>
        <w:jc w:val="both"/>
        <w:rPr>
          <w:bCs/>
          <w:lang w:val="es-ES"/>
        </w:rPr>
      </w:pPr>
      <w:r w:rsidRPr="000A2EB9">
        <w:rPr>
          <w:bCs/>
          <w:lang w:val="es-ES"/>
        </w:rPr>
        <w:tab/>
        <w:t xml:space="preserve">En rigor, este pronunciamiento luce tan solitario como poco relevante puesto que, si no fuese por la curiosa lectura que el Superior Tribunal provincial que intervino en el caso efectuó del art. 50 LAS, no se discutía en el país que el sistema de tutelas regulado por dicha ley exige que el empleador conozca la postulación, la designación o la elección, ya que esta normativa se basa en la presunción legal de que el acto es discriminatorio por su finalidad anti sindical, presunción que no puede proyectarse cuando las decisiones del principal son tomadas y efectivizadas mediante la notificación al trabajador sin conocer aquellas circunstancias. </w:t>
      </w:r>
    </w:p>
    <w:p w14:paraId="09E24407" w14:textId="3DD1F9AC" w:rsidR="000F205A" w:rsidRPr="000A2EB9" w:rsidRDefault="000F205A" w:rsidP="0007406A">
      <w:pPr>
        <w:spacing w:line="360" w:lineRule="auto"/>
        <w:jc w:val="both"/>
        <w:rPr>
          <w:bCs/>
          <w:lang w:val="es-ES"/>
        </w:rPr>
      </w:pPr>
      <w:r w:rsidRPr="000A2EB9">
        <w:rPr>
          <w:bCs/>
          <w:lang w:val="es-ES"/>
        </w:rPr>
        <w:tab/>
      </w:r>
      <w:r w:rsidR="00A75235" w:rsidRPr="000A2EB9">
        <w:rPr>
          <w:bCs/>
          <w:lang w:val="es-ES"/>
        </w:rPr>
        <w:t>Es que l</w:t>
      </w:r>
      <w:r w:rsidR="00EC54D7" w:rsidRPr="000A2EB9">
        <w:rPr>
          <w:bCs/>
          <w:lang w:val="es-ES"/>
        </w:rPr>
        <w:t xml:space="preserve">a discusión </w:t>
      </w:r>
      <w:r w:rsidR="00A75235" w:rsidRPr="000A2EB9">
        <w:rPr>
          <w:bCs/>
          <w:lang w:val="es-ES"/>
        </w:rPr>
        <w:t xml:space="preserve">en esa causa </w:t>
      </w:r>
      <w:r w:rsidR="00EC54D7" w:rsidRPr="000A2EB9">
        <w:rPr>
          <w:bCs/>
          <w:lang w:val="es-ES"/>
        </w:rPr>
        <w:t>versó sobre el inicio de la protección otorgada por el art. 50 de la ley 23.551 a los candidatos y el Superior Tribunal interviniente, haciendo una interpretación auto titulada como “amplia” del texto legal, afirmó que debe tener como punto de partida “</w:t>
      </w:r>
      <w:r w:rsidR="00EC54D7" w:rsidRPr="000A2EB9">
        <w:rPr>
          <w:bCs/>
          <w:i/>
          <w:iCs/>
          <w:lang w:val="es-ES"/>
        </w:rPr>
        <w:t>la fecha en que el órgano competente de la asociación sindical recibe la respectiva lista de candidatos con las formalidades necesarias para pasar a expedirse acerca de su oficialización</w:t>
      </w:r>
      <w:r w:rsidR="00EC54D7" w:rsidRPr="000A2EB9">
        <w:rPr>
          <w:bCs/>
          <w:lang w:val="es-ES"/>
        </w:rPr>
        <w:t xml:space="preserve">”. </w:t>
      </w:r>
    </w:p>
    <w:p w14:paraId="2B11F88B" w14:textId="6ED2B668" w:rsidR="00EC54D7" w:rsidRPr="000A2EB9" w:rsidRDefault="00EC54D7" w:rsidP="003F5941">
      <w:pPr>
        <w:spacing w:line="360" w:lineRule="auto"/>
        <w:jc w:val="both"/>
        <w:rPr>
          <w:bCs/>
          <w:lang w:val="es-ES"/>
        </w:rPr>
      </w:pPr>
      <w:r w:rsidRPr="000A2EB9">
        <w:rPr>
          <w:bCs/>
          <w:lang w:val="es-ES"/>
        </w:rPr>
        <w:tab/>
      </w:r>
      <w:r w:rsidR="003F5941" w:rsidRPr="000A2EB9">
        <w:rPr>
          <w:bCs/>
          <w:lang w:val="es-ES"/>
        </w:rPr>
        <w:t>Y bien, en la sentencia dictada la Corte Federal, tras recordar que el precepto en juego establece que "</w:t>
      </w:r>
      <w:r w:rsidR="003F5941" w:rsidRPr="000A2EB9">
        <w:rPr>
          <w:bCs/>
          <w:i/>
          <w:iCs/>
          <w:lang w:val="es-ES"/>
        </w:rPr>
        <w:t>La asociación sindical deberá comunicar al empleador el nombre de los postulantes; lo propio podrán hacer los candidatos</w:t>
      </w:r>
      <w:r w:rsidR="003F5941" w:rsidRPr="000A2EB9">
        <w:rPr>
          <w:bCs/>
          <w:lang w:val="es-ES"/>
        </w:rPr>
        <w:t xml:space="preserve">", apuntó que tal </w:t>
      </w:r>
      <w:r w:rsidR="003F5941" w:rsidRPr="000A2EB9">
        <w:rPr>
          <w:bCs/>
          <w:lang w:val="es-ES"/>
        </w:rPr>
        <w:lastRenderedPageBreak/>
        <w:t>previsión solo tiene sentido si se entiende que el efectivo goce de la tutela legal en relación con el dador de trabajo</w:t>
      </w:r>
      <w:r w:rsidR="00083DEE" w:rsidRPr="000A2EB9">
        <w:rPr>
          <w:bCs/>
          <w:lang w:val="es-ES"/>
        </w:rPr>
        <w:t xml:space="preserve">, que es el </w:t>
      </w:r>
      <w:r w:rsidR="003F5941" w:rsidRPr="000A2EB9">
        <w:rPr>
          <w:bCs/>
          <w:lang w:val="es-ES"/>
        </w:rPr>
        <w:t>principal obligado a respetarla</w:t>
      </w:r>
      <w:r w:rsidR="00083DEE" w:rsidRPr="000A2EB9">
        <w:rPr>
          <w:bCs/>
          <w:lang w:val="es-ES"/>
        </w:rPr>
        <w:t xml:space="preserve">, </w:t>
      </w:r>
      <w:r w:rsidR="003F5941" w:rsidRPr="000A2EB9">
        <w:rPr>
          <w:bCs/>
          <w:lang w:val="es-ES"/>
        </w:rPr>
        <w:t>se encuentra condicionado al cumplimiento del recaudo de notificarlo de que la candidatura se ha formalizado</w:t>
      </w:r>
      <w:r w:rsidR="00083DEE" w:rsidRPr="000A2EB9">
        <w:rPr>
          <w:bCs/>
          <w:lang w:val="es-ES"/>
        </w:rPr>
        <w:t xml:space="preserve">. En ese camino, enfatizó el Tribunal Supremo </w:t>
      </w:r>
      <w:r w:rsidR="003F5941" w:rsidRPr="000A2EB9">
        <w:rPr>
          <w:bCs/>
          <w:lang w:val="es-ES"/>
        </w:rPr>
        <w:t>que la observancia de idéntico requisito de comunicación al empleador es indispensable para que surta efecto la garantía de estabilidad gremial en todos los demás supuestos que la ley contempla</w:t>
      </w:r>
      <w:r w:rsidR="00083DEE" w:rsidRPr="000A2EB9">
        <w:rPr>
          <w:bCs/>
          <w:lang w:val="es-ES"/>
        </w:rPr>
        <w:t>, haciendo cita de los arts. 48 y 49 de la misma ley 23.551.</w:t>
      </w:r>
    </w:p>
    <w:p w14:paraId="21FF8BEB" w14:textId="77777777" w:rsidR="00C177C4" w:rsidRPr="000A2EB9" w:rsidRDefault="00C177C4" w:rsidP="00732124">
      <w:pPr>
        <w:spacing w:line="360" w:lineRule="auto"/>
        <w:jc w:val="both"/>
        <w:rPr>
          <w:b/>
          <w:lang w:val="es-ES"/>
        </w:rPr>
      </w:pPr>
    </w:p>
    <w:p w14:paraId="5BD8E1AC" w14:textId="5B1DD19E" w:rsidR="001076B4" w:rsidRPr="000A2EB9" w:rsidRDefault="002F5665" w:rsidP="00732124">
      <w:pPr>
        <w:spacing w:line="360" w:lineRule="auto"/>
        <w:jc w:val="both"/>
        <w:rPr>
          <w:b/>
          <w:lang w:val="es-ES"/>
        </w:rPr>
      </w:pPr>
      <w:r w:rsidRPr="000A2EB9">
        <w:rPr>
          <w:b/>
          <w:lang w:val="es-ES"/>
        </w:rPr>
        <w:t>A</w:t>
      </w:r>
      <w:r w:rsidR="00A75235" w:rsidRPr="000A2EB9">
        <w:rPr>
          <w:b/>
          <w:lang w:val="es-ES"/>
        </w:rPr>
        <w:t>)</w:t>
      </w:r>
      <w:r w:rsidRPr="000A2EB9">
        <w:rPr>
          <w:b/>
          <w:lang w:val="es-ES"/>
        </w:rPr>
        <w:t xml:space="preserve"> 2.</w:t>
      </w:r>
      <w:r w:rsidRPr="000A2EB9">
        <w:rPr>
          <w:b/>
          <w:lang w:val="es-ES"/>
        </w:rPr>
        <w:tab/>
      </w:r>
      <w:r w:rsidR="00845898" w:rsidRPr="000A2EB9">
        <w:rPr>
          <w:b/>
          <w:lang w:val="es-ES"/>
        </w:rPr>
        <w:t xml:space="preserve"> </w:t>
      </w:r>
      <w:r w:rsidR="001076B4" w:rsidRPr="000A2EB9">
        <w:rPr>
          <w:b/>
          <w:lang w:val="es-ES"/>
        </w:rPr>
        <w:t>Titularidad del derecho de huelga.</w:t>
      </w:r>
    </w:p>
    <w:p w14:paraId="6594A39C" w14:textId="750F0251" w:rsidR="00CF4185" w:rsidRPr="000A2EB9" w:rsidRDefault="00CF4185" w:rsidP="00732124">
      <w:pPr>
        <w:spacing w:line="360" w:lineRule="auto"/>
        <w:jc w:val="both"/>
        <w:rPr>
          <w:bCs/>
          <w:lang w:val="es-ES"/>
        </w:rPr>
      </w:pPr>
      <w:r w:rsidRPr="000A2EB9">
        <w:rPr>
          <w:bCs/>
          <w:lang w:val="es-ES"/>
        </w:rPr>
        <w:tab/>
        <w:t>Cabe ahora mencionar un muy trascendente decisorio del Más Alto Tribunal en relación al derecho de huelga, garantizado por el art. 14 bis de la Constitucional Nacional “a los gremios”</w:t>
      </w:r>
      <w:r w:rsidR="00ED0113" w:rsidRPr="000A2EB9">
        <w:rPr>
          <w:bCs/>
          <w:lang w:val="es-ES"/>
        </w:rPr>
        <w:t xml:space="preserve"> (</w:t>
      </w:r>
      <w:r w:rsidR="00ED0113" w:rsidRPr="000A2EB9">
        <w:rPr>
          <w:rStyle w:val="Refdenotaalpie"/>
          <w:bCs/>
          <w:lang w:val="es-ES"/>
        </w:rPr>
        <w:footnoteReference w:id="18"/>
      </w:r>
      <w:r w:rsidR="00ED0113" w:rsidRPr="000A2EB9">
        <w:rPr>
          <w:bCs/>
          <w:lang w:val="es-ES"/>
        </w:rPr>
        <w:t>)</w:t>
      </w:r>
      <w:r w:rsidR="00026EE7" w:rsidRPr="000A2EB9">
        <w:rPr>
          <w:bCs/>
          <w:lang w:val="es-ES"/>
        </w:rPr>
        <w:t>, expresión que ha motivado una profunda división de la doctrina y la jurisprudencia sobre su significado, el que se traduce en determinar cuál es el sujeto legitimado para decretar esa medida de acción directa.</w:t>
      </w:r>
    </w:p>
    <w:p w14:paraId="4AF62FD8" w14:textId="1F15DF0F" w:rsidR="00026EE7" w:rsidRPr="000A2EB9" w:rsidRDefault="00026EE7" w:rsidP="00026EE7">
      <w:pPr>
        <w:spacing w:line="360" w:lineRule="auto"/>
        <w:jc w:val="both"/>
        <w:rPr>
          <w:bCs/>
          <w:lang w:val="es-ES"/>
        </w:rPr>
      </w:pPr>
      <w:r w:rsidRPr="000A2EB9">
        <w:rPr>
          <w:bCs/>
          <w:lang w:val="es-ES"/>
        </w:rPr>
        <w:tab/>
        <w:t>Y bien, la Corte Suprema argentina al intervenir en la causa “</w:t>
      </w:r>
      <w:r w:rsidR="00732124" w:rsidRPr="000A2EB9">
        <w:rPr>
          <w:b/>
          <w:lang w:val="es-ES"/>
        </w:rPr>
        <w:t>Orellano, Francisco Daniel c/ Correo Oficial de la República Argentina</w:t>
      </w:r>
      <w:r w:rsidRPr="000A2EB9">
        <w:rPr>
          <w:bCs/>
          <w:lang w:val="es-ES"/>
        </w:rPr>
        <w:t>” dictó sentencia el</w:t>
      </w:r>
      <w:r w:rsidR="00732124" w:rsidRPr="000A2EB9">
        <w:rPr>
          <w:bCs/>
          <w:lang w:val="es-ES"/>
        </w:rPr>
        <w:t xml:space="preserve"> </w:t>
      </w:r>
      <w:r w:rsidR="005923F4" w:rsidRPr="000A2EB9">
        <w:rPr>
          <w:bCs/>
          <w:lang w:val="es-ES"/>
        </w:rPr>
        <w:t>0</w:t>
      </w:r>
      <w:r w:rsidR="00732124" w:rsidRPr="000A2EB9">
        <w:rPr>
          <w:bCs/>
          <w:lang w:val="es-ES"/>
        </w:rPr>
        <w:t>7/</w:t>
      </w:r>
      <w:r w:rsidRPr="000A2EB9">
        <w:rPr>
          <w:bCs/>
          <w:lang w:val="es-ES"/>
        </w:rPr>
        <w:t>0</w:t>
      </w:r>
      <w:r w:rsidR="00732124" w:rsidRPr="000A2EB9">
        <w:rPr>
          <w:bCs/>
          <w:lang w:val="es-ES"/>
        </w:rPr>
        <w:t xml:space="preserve">6/2016 </w:t>
      </w:r>
      <w:r w:rsidRPr="000A2EB9">
        <w:rPr>
          <w:bCs/>
          <w:lang w:val="es-ES"/>
        </w:rPr>
        <w:t>tomando postura al respecto</w:t>
      </w:r>
      <w:r w:rsidR="004E003D" w:rsidRPr="000A2EB9">
        <w:rPr>
          <w:bCs/>
          <w:lang w:val="es-ES"/>
        </w:rPr>
        <w:t>, mediante el voto conjunto de los jueces Lorenzetti, Highton y Maqueda</w:t>
      </w:r>
      <w:r w:rsidRPr="000A2EB9">
        <w:rPr>
          <w:bCs/>
          <w:lang w:val="es-ES"/>
        </w:rPr>
        <w:t xml:space="preserve"> (</w:t>
      </w:r>
      <w:r w:rsidRPr="000A2EB9">
        <w:rPr>
          <w:rStyle w:val="Refdenotaalpie"/>
          <w:bCs/>
          <w:lang w:val="es-ES"/>
        </w:rPr>
        <w:footnoteReference w:id="19"/>
      </w:r>
      <w:r w:rsidRPr="000A2EB9">
        <w:rPr>
          <w:bCs/>
          <w:lang w:val="es-ES"/>
        </w:rPr>
        <w:t>).</w:t>
      </w:r>
    </w:p>
    <w:p w14:paraId="04428DC7" w14:textId="349271B5" w:rsidR="00026EE7" w:rsidRPr="000A2EB9" w:rsidRDefault="00026EE7" w:rsidP="00026EE7">
      <w:pPr>
        <w:spacing w:line="360" w:lineRule="auto"/>
        <w:jc w:val="both"/>
        <w:rPr>
          <w:bCs/>
          <w:lang w:val="es-ES"/>
        </w:rPr>
      </w:pPr>
      <w:r w:rsidRPr="000A2EB9">
        <w:rPr>
          <w:bCs/>
          <w:lang w:val="es-ES"/>
        </w:rPr>
        <w:tab/>
        <w:t xml:space="preserve">El caso se configuró así: el trabajador fue despedido por haber participado en la convocatoria y realización de medidas de fuerza que no contaban con el aval de los sindicatos representantes del personal y, tras la decisión de las 2 instancias ordinarias de los Tribunales del Trabajo de la Capital Federal que consideraron injusto y antisindical al despido, la Corte Suprema se adentró en este importante tema, asumiendo, como anticipé en el párrafo anterior, </w:t>
      </w:r>
      <w:r w:rsidR="003A293A" w:rsidRPr="000A2EB9">
        <w:rPr>
          <w:bCs/>
          <w:lang w:val="es-ES"/>
        </w:rPr>
        <w:t>una clara postura sobre el debate de la legitimación activa para decretar la huelga.</w:t>
      </w:r>
    </w:p>
    <w:p w14:paraId="7120FC7A" w14:textId="6DBAE92E" w:rsidR="003A293A" w:rsidRPr="000A2EB9" w:rsidRDefault="003A293A" w:rsidP="00FC7B73">
      <w:pPr>
        <w:spacing w:line="360" w:lineRule="auto"/>
        <w:jc w:val="both"/>
        <w:rPr>
          <w:bCs/>
          <w:lang w:val="es-ES"/>
        </w:rPr>
      </w:pPr>
      <w:r w:rsidRPr="000A2EB9">
        <w:rPr>
          <w:bCs/>
          <w:lang w:val="es-ES"/>
        </w:rPr>
        <w:tab/>
      </w:r>
      <w:r w:rsidR="00FC7B73" w:rsidRPr="000A2EB9">
        <w:rPr>
          <w:bCs/>
          <w:lang w:val="es-ES"/>
        </w:rPr>
        <w:t xml:space="preserve">Tras recordar que </w:t>
      </w:r>
      <w:r w:rsidR="005923F4" w:rsidRPr="000A2EB9">
        <w:rPr>
          <w:bCs/>
          <w:lang w:val="es-ES"/>
        </w:rPr>
        <w:t>esa medida de fuerz</w:t>
      </w:r>
      <w:r w:rsidR="004E003D" w:rsidRPr="000A2EB9">
        <w:rPr>
          <w:bCs/>
          <w:lang w:val="es-ES"/>
        </w:rPr>
        <w:t>a</w:t>
      </w:r>
      <w:r w:rsidR="005923F4" w:rsidRPr="000A2EB9">
        <w:rPr>
          <w:bCs/>
          <w:lang w:val="es-ES"/>
        </w:rPr>
        <w:t xml:space="preserve"> extrema</w:t>
      </w:r>
      <w:r w:rsidR="00FC7B73" w:rsidRPr="000A2EB9">
        <w:rPr>
          <w:bCs/>
          <w:lang w:val="es-ES"/>
        </w:rPr>
        <w:t xml:space="preserve"> provoca una evidente tensión con el ejercicio de los derechos del empleador (libertad de comerciar, de ejercer toda industria lícita, etc.) así como también con los derechos de terceros o de la sociedad (de transitar, de enseñar y aprender, a la protección de la salud, a la adquisición de bienes para una adecuada alimentación y vestimenta, a que se asegure la calidad y eficiencia de los servicios públicos, etc.) que también cuentan con protección constitucional, </w:t>
      </w:r>
      <w:r w:rsidR="005923F4" w:rsidRPr="000A2EB9">
        <w:rPr>
          <w:bCs/>
          <w:lang w:val="es-ES"/>
        </w:rPr>
        <w:t>memor</w:t>
      </w:r>
      <w:r w:rsidR="00FC7B73" w:rsidRPr="000A2EB9">
        <w:rPr>
          <w:bCs/>
          <w:lang w:val="es-ES"/>
        </w:rPr>
        <w:t>ó el Cimero Tribunal argentino que dicha tensión entre derechos de difícil armonización ha llevado a que los diversos ordenamientos jurídicos supediten el ejercicio del derecho de huelga al cumplimiento de determinadas condiciones o recaudos que configuran su marco de legalidad.</w:t>
      </w:r>
    </w:p>
    <w:p w14:paraId="4A2EA3AD" w14:textId="77777777" w:rsidR="005923F4" w:rsidRPr="000A2EB9" w:rsidRDefault="00FC7B73" w:rsidP="00FC7B73">
      <w:pPr>
        <w:spacing w:line="360" w:lineRule="auto"/>
        <w:jc w:val="both"/>
        <w:rPr>
          <w:bCs/>
          <w:lang w:val="es-ES"/>
        </w:rPr>
      </w:pPr>
      <w:r w:rsidRPr="000A2EB9">
        <w:rPr>
          <w:bCs/>
          <w:lang w:val="es-ES"/>
        </w:rPr>
        <w:lastRenderedPageBreak/>
        <w:tab/>
        <w:t xml:space="preserve">Seguidamente la Corte Suprema creyó conveniente aclarar que la huelga debe considerarse como un acto colectivo en la deliberación que lleva a una agrupación de trabajadores a declararla para tutelar sus intereses y que, celebrado el acuerdo sobre la huelga, corresponde a cada trabajador un derecho subjetivo de realizarla, de modo que la proclamación de la huelga es una condición previa para que surja el derecho del particular a abstenerse del trabajo o a retacearlo. </w:t>
      </w:r>
    </w:p>
    <w:p w14:paraId="545A8688" w14:textId="68CCF55E" w:rsidR="00FC7B73" w:rsidRPr="000A2EB9" w:rsidRDefault="005923F4" w:rsidP="00FC7B73">
      <w:pPr>
        <w:spacing w:line="360" w:lineRule="auto"/>
        <w:jc w:val="both"/>
        <w:rPr>
          <w:bCs/>
          <w:lang w:val="es-ES"/>
        </w:rPr>
      </w:pPr>
      <w:r w:rsidRPr="000A2EB9">
        <w:rPr>
          <w:bCs/>
          <w:lang w:val="es-ES"/>
        </w:rPr>
        <w:t xml:space="preserve"> </w:t>
      </w:r>
      <w:r w:rsidRPr="000A2EB9">
        <w:rPr>
          <w:bCs/>
          <w:lang w:val="es-ES"/>
        </w:rPr>
        <w:tab/>
      </w:r>
      <w:r w:rsidR="00FC7B73" w:rsidRPr="000A2EB9">
        <w:rPr>
          <w:bCs/>
          <w:lang w:val="es-ES"/>
        </w:rPr>
        <w:t>Es decir que</w:t>
      </w:r>
      <w:r w:rsidRPr="000A2EB9">
        <w:rPr>
          <w:bCs/>
          <w:lang w:val="es-ES"/>
        </w:rPr>
        <w:t>, para la Corte Suprema,</w:t>
      </w:r>
      <w:r w:rsidR="00FC7B73" w:rsidRPr="000A2EB9">
        <w:rPr>
          <w:bCs/>
          <w:lang w:val="es-ES"/>
        </w:rPr>
        <w:t xml:space="preserve"> el ejercicio del derecho de huelga exhibe dos facetas, una individual que se identifica con el derecho del trabajador singular de adherirse o no a una huelga declarada, y otra indudablemente colectiva, pues fijar reivindicaciones, declarar o poner fin a la huelga, o negociar la solución del conflicto son atribuciones que necesariamente se ejercen a través de una agrupación de trabajadores. </w:t>
      </w:r>
    </w:p>
    <w:p w14:paraId="5E32C31A" w14:textId="64E8DCC5" w:rsidR="00026EE7" w:rsidRPr="000A2EB9" w:rsidRDefault="00FC7B73" w:rsidP="00FC7B73">
      <w:pPr>
        <w:spacing w:line="360" w:lineRule="auto"/>
        <w:ind w:firstLine="720"/>
        <w:jc w:val="both"/>
        <w:rPr>
          <w:bCs/>
          <w:lang w:val="es-ES"/>
        </w:rPr>
      </w:pPr>
      <w:r w:rsidRPr="000A2EB9">
        <w:rPr>
          <w:bCs/>
          <w:lang w:val="es-ES"/>
        </w:rPr>
        <w:t>En esos términos, para el Máximo Tribunal de la República Argentina resulta evidente que el ejercicio de este derecho colectivo de declarar una huelga condiciona el ejercicio del derecho individual de adherirse o no a ella en un sentido material y en un sentido formal. En un sentido material, porque no es posible adherirse a una huelga no convocada. Y en un sentido formal, porque el ejercicio individual será legítimo si legítima fuese la convocatoria de la huelga.</w:t>
      </w:r>
    </w:p>
    <w:p w14:paraId="546A5BBD" w14:textId="30A623BF" w:rsidR="00FC7B73" w:rsidRPr="000A2EB9" w:rsidRDefault="00FC7B73" w:rsidP="00FC7B73">
      <w:pPr>
        <w:spacing w:line="360" w:lineRule="auto"/>
        <w:ind w:firstLine="720"/>
        <w:jc w:val="both"/>
        <w:rPr>
          <w:bCs/>
          <w:lang w:val="es-ES"/>
        </w:rPr>
      </w:pPr>
      <w:r w:rsidRPr="000A2EB9">
        <w:rPr>
          <w:bCs/>
          <w:lang w:val="es-ES"/>
        </w:rPr>
        <w:t xml:space="preserve">Asimismo, en el fallo bajo comentario los jueces </w:t>
      </w:r>
      <w:r w:rsidR="004E003D" w:rsidRPr="000A2EB9">
        <w:rPr>
          <w:bCs/>
          <w:lang w:val="es-ES"/>
        </w:rPr>
        <w:t xml:space="preserve">Lorenzetti, Highton y Maqueda </w:t>
      </w:r>
      <w:r w:rsidRPr="000A2EB9">
        <w:rPr>
          <w:bCs/>
          <w:lang w:val="es-ES"/>
        </w:rPr>
        <w:t xml:space="preserve">valoraron, como pauta interpretativa, el hecho de que el art. 14 bis de la Constitución Nacional contempla el derecho de huelga en el segundo bloque, el de los derechos colectivos. </w:t>
      </w:r>
    </w:p>
    <w:p w14:paraId="7D03F70F" w14:textId="556490E2" w:rsidR="00896BB2" w:rsidRPr="000A2EB9" w:rsidRDefault="00896BB2" w:rsidP="00896BB2">
      <w:pPr>
        <w:spacing w:line="360" w:lineRule="auto"/>
        <w:ind w:firstLine="720"/>
        <w:jc w:val="both"/>
        <w:rPr>
          <w:bCs/>
          <w:lang w:val="es-ES"/>
        </w:rPr>
      </w:pPr>
      <w:r w:rsidRPr="000A2EB9">
        <w:rPr>
          <w:bCs/>
          <w:lang w:val="es-ES"/>
        </w:rPr>
        <w:t>Según el Alto Tribunal, la expresión usada en el art. 14 bis de la Constitución Nacional, que concede el derecho de huelga “a los gremios”, no resulta comprensiva de cualquier grupo informal de trabajadores ya que dicho precepto ha puesto especial énfasis en garantizar que las asociaciones profesionales destinadas a representar a los trabajadores en el ámbito de las relaciones colectivas se organicen con arreglo a los principios de libertad sindical y de democracia interna y, a tal efecto, les ha impuesto el requisito de la inscripción en un registro especial como medida de control del cumplimiento de tales directivas. No resulta lógico admitir, según el razonamiento de la Corte Suprema, que, a renglón seguido, la misma norma otorgase de modo indistinto la titularidad de los derechos más relevantes del ámbito de las relaciones colectivas (negociar convenios colectivos, acudir a la conciliación y al arbitraje cuando las negociaciones directas fracasan, y, en su caso, adoptar medidas de acción directa) tanto a las organizaciones que cumplen con todos esos recaudos como a simples grupos informales a los que no les exige satisfacer ninguno de ellos.</w:t>
      </w:r>
    </w:p>
    <w:p w14:paraId="43A36950" w14:textId="590B072D" w:rsidR="00FC7B73" w:rsidRPr="000A2EB9" w:rsidRDefault="00FC7B73" w:rsidP="00FC7B73">
      <w:pPr>
        <w:spacing w:line="360" w:lineRule="auto"/>
        <w:ind w:firstLine="720"/>
        <w:jc w:val="both"/>
        <w:rPr>
          <w:bCs/>
          <w:lang w:val="es-ES"/>
        </w:rPr>
      </w:pPr>
      <w:r w:rsidRPr="000A2EB9">
        <w:rPr>
          <w:bCs/>
          <w:lang w:val="es-ES"/>
        </w:rPr>
        <w:t xml:space="preserve">Tras examinar los antecedentes de la reforma constitucional que introdujo el art. 14 bis en 1957 y de los textos internacionales, la Corte Suprema sostuvo que es indudable que la titularidad del derecho a declarar una huelga pertenece a un colectivo de trabajadores organizados en función de intereses comunes, no al trabajador en forma individual ni a cualquier grupo de trabajadores. </w:t>
      </w:r>
    </w:p>
    <w:p w14:paraId="16E50EDB" w14:textId="66D91FEC" w:rsidR="003B41F0" w:rsidRPr="000A2EB9" w:rsidRDefault="00C53055" w:rsidP="003B41F0">
      <w:pPr>
        <w:spacing w:line="360" w:lineRule="auto"/>
        <w:ind w:firstLine="720"/>
        <w:jc w:val="both"/>
        <w:rPr>
          <w:bCs/>
          <w:lang w:val="es-ES"/>
        </w:rPr>
      </w:pPr>
      <w:r w:rsidRPr="000A2EB9">
        <w:rPr>
          <w:bCs/>
          <w:lang w:val="es-ES"/>
        </w:rPr>
        <w:lastRenderedPageBreak/>
        <w:t>Para los jueces que suscribieron “Orellano” la normativa proveniente de la Organización Internacional del Trabajo (OIT) -que se había mencionado en el fallo de la Cámara- no permite sustentar una opinión contraria, señalando que el Convenio 87 -sobre la libertad sindical y la protección del derecho de sindicación-, aunque no menciona expresamente el derecho de huelga, sí consagra el derecho de las "organizaciones de trabajadores" y de empleadores "de organizar su administración y sus actividades y el de formular su programa de acción" (art. 3) y establece como objeto de dichas organizaciones "fomentar y defender los intereses de los trabajadores o de los empleadores". En tal sentido reseñaron que el Comité de Libertad Sindical, ya en su segunda reunión celebrada en 1952, destacó enfáticamente que el derecho de huelga "es uno de los elementos esenciales del derecho sindical" y, poco tiempo después, refirió que "en la mayor parte de los países se reconocía que el derecho de huelga constituye un derecho legítimo al que pueden recurrir los sindicatos para defender los intereses de sus miembros" y que en el mismo sentido se pronunció la Comisión de Expertos a partir de 1959 precisando, con fundamento en los arts. 3 y 10 del Convenio 87, que la prohibición de la huelga constituye una restricción considerable de las oportunidades que se ofrecen a los sindicatos para fomentar y defender los intereses de sus miembros y del derecho de los sindicatos a organizar sus actividades</w:t>
      </w:r>
      <w:r w:rsidR="003B41F0" w:rsidRPr="000A2EB9">
        <w:rPr>
          <w:bCs/>
          <w:lang w:val="es-ES"/>
        </w:rPr>
        <w:t>.</w:t>
      </w:r>
    </w:p>
    <w:p w14:paraId="36EF298A" w14:textId="77777777" w:rsidR="003B41F0" w:rsidRPr="000A2EB9" w:rsidRDefault="003B41F0" w:rsidP="003B41F0">
      <w:pPr>
        <w:spacing w:line="360" w:lineRule="auto"/>
        <w:ind w:firstLine="720"/>
        <w:jc w:val="both"/>
        <w:rPr>
          <w:bCs/>
          <w:lang w:val="es-ES"/>
        </w:rPr>
      </w:pPr>
      <w:r w:rsidRPr="000A2EB9">
        <w:rPr>
          <w:bCs/>
          <w:lang w:val="es-ES"/>
        </w:rPr>
        <w:t>Y, dado que la base jurídica de la doctrina elaborada por los citados órganos de contralor de la OIT reside básicamente en las normas del Convenio 87 que se refieren a los derechos y objetivos de las organizaciones sindicales, es evidente, para la Corte Suprema argentina, que de dicha doctrina solo se sigue el reconocimiento de la atribución de disponer medidas de fuerza para estas organizaciones, y así lo ha entendido el Comité de Libertad Sindical, añadiendo que el citado Comité ha dicho que "no parece que el hecho de reservar exclusivamente a las organizaciones sindicales el derecho de declarar una huelga sea incompatible con las normas establecidas en el Convenio núm. 87".</w:t>
      </w:r>
    </w:p>
    <w:p w14:paraId="6CE6E07F" w14:textId="79F859AB" w:rsidR="00C53055" w:rsidRPr="000A2EB9" w:rsidRDefault="001076B4" w:rsidP="003B41F0">
      <w:pPr>
        <w:spacing w:line="360" w:lineRule="auto"/>
        <w:ind w:firstLine="720"/>
        <w:jc w:val="both"/>
        <w:rPr>
          <w:bCs/>
          <w:lang w:val="es-ES"/>
        </w:rPr>
      </w:pPr>
      <w:r w:rsidRPr="000A2EB9">
        <w:rPr>
          <w:bCs/>
          <w:lang w:val="es-ES"/>
        </w:rPr>
        <w:t>En base a todo ello juzgó el Máximo Tribunal que la normativa federal examinada, es decir el art. 14 bis de la Constitución Nacional, solamente confiere el derecho de declarar una huelga a las asociaciones profesionales y, en base a esa doctrina, dejó sin efecto la sentencia dictada por la Cámara y mandó dictar una nueva con sujeción a esa interpretación.</w:t>
      </w:r>
    </w:p>
    <w:p w14:paraId="3988DA56" w14:textId="0E275874" w:rsidR="00845898" w:rsidRPr="000A2EB9" w:rsidRDefault="001076B4" w:rsidP="001076B4">
      <w:pPr>
        <w:spacing w:line="360" w:lineRule="auto"/>
        <w:ind w:firstLine="720"/>
        <w:jc w:val="both"/>
        <w:rPr>
          <w:bCs/>
          <w:lang w:val="es-ES"/>
        </w:rPr>
      </w:pPr>
      <w:r w:rsidRPr="000A2EB9">
        <w:rPr>
          <w:bCs/>
          <w:lang w:val="es-ES"/>
        </w:rPr>
        <w:t>Este criterio fue repetido en el caso “</w:t>
      </w:r>
      <w:r w:rsidR="00732124" w:rsidRPr="000A2EB9">
        <w:rPr>
          <w:b/>
          <w:lang w:val="es-ES"/>
        </w:rPr>
        <w:t>Conte, Maximiliano e/ Correo Oficial de la República Argentina SA</w:t>
      </w:r>
      <w:r w:rsidR="0062500E" w:rsidRPr="000A2EB9">
        <w:rPr>
          <w:bCs/>
          <w:lang w:val="es-ES"/>
        </w:rPr>
        <w:t>”,</w:t>
      </w:r>
      <w:r w:rsidRPr="000A2EB9">
        <w:rPr>
          <w:bCs/>
          <w:lang w:val="es-ES"/>
        </w:rPr>
        <w:t xml:space="preserve"> sentenciado en la misma fecha que “Orellano”, es decir el</w:t>
      </w:r>
      <w:r w:rsidR="00732124" w:rsidRPr="000A2EB9">
        <w:rPr>
          <w:bCs/>
          <w:lang w:val="es-ES"/>
        </w:rPr>
        <w:t xml:space="preserve"> 07/06/20</w:t>
      </w:r>
      <w:r w:rsidR="00CF4185" w:rsidRPr="000A2EB9">
        <w:rPr>
          <w:bCs/>
          <w:lang w:val="es-ES"/>
        </w:rPr>
        <w:t>16</w:t>
      </w:r>
      <w:r w:rsidRPr="000A2EB9">
        <w:rPr>
          <w:bCs/>
          <w:lang w:val="es-ES"/>
        </w:rPr>
        <w:t xml:space="preserve">. </w:t>
      </w:r>
    </w:p>
    <w:p w14:paraId="29A58F38" w14:textId="77777777" w:rsidR="00C177C4" w:rsidRPr="000A2EB9" w:rsidRDefault="00C177C4" w:rsidP="0007406A">
      <w:pPr>
        <w:spacing w:line="360" w:lineRule="auto"/>
        <w:jc w:val="both"/>
        <w:rPr>
          <w:b/>
          <w:lang w:val="es-ES"/>
        </w:rPr>
      </w:pPr>
    </w:p>
    <w:p w14:paraId="3650981A" w14:textId="77777777" w:rsidR="00C177C4" w:rsidRPr="000A2EB9" w:rsidRDefault="002F5665" w:rsidP="00C177C4">
      <w:pPr>
        <w:spacing w:line="360" w:lineRule="auto"/>
        <w:ind w:firstLine="720"/>
        <w:jc w:val="both"/>
        <w:rPr>
          <w:b/>
          <w:lang w:val="es-ES"/>
        </w:rPr>
      </w:pPr>
      <w:r w:rsidRPr="000A2EB9">
        <w:rPr>
          <w:b/>
          <w:lang w:val="es-ES"/>
        </w:rPr>
        <w:t>B)</w:t>
      </w:r>
      <w:r w:rsidR="001076B4" w:rsidRPr="000A2EB9">
        <w:rPr>
          <w:b/>
          <w:lang w:val="es-ES"/>
        </w:rPr>
        <w:t xml:space="preserve"> </w:t>
      </w:r>
      <w:r w:rsidRPr="000A2EB9">
        <w:rPr>
          <w:b/>
          <w:lang w:val="es-ES"/>
        </w:rPr>
        <w:t>Despido discriminatorio y a</w:t>
      </w:r>
      <w:r w:rsidR="001076B4" w:rsidRPr="000A2EB9">
        <w:rPr>
          <w:b/>
          <w:lang w:val="es-ES"/>
        </w:rPr>
        <w:t xml:space="preserve">lcances de la nulidad del despido </w:t>
      </w:r>
    </w:p>
    <w:p w14:paraId="33A5D8AC" w14:textId="4F7428DD" w:rsidR="002D554E" w:rsidRPr="000A2EB9" w:rsidRDefault="001076B4" w:rsidP="00C177C4">
      <w:pPr>
        <w:spacing w:line="360" w:lineRule="auto"/>
        <w:ind w:firstLine="720"/>
        <w:jc w:val="both"/>
        <w:rPr>
          <w:b/>
          <w:lang w:val="es-ES"/>
        </w:rPr>
      </w:pPr>
      <w:r w:rsidRPr="000A2EB9">
        <w:rPr>
          <w:b/>
          <w:lang w:val="es-ES"/>
        </w:rPr>
        <w:t>con motivación discriminatoria.</w:t>
      </w:r>
    </w:p>
    <w:p w14:paraId="5492E5D3" w14:textId="0EFFBE41" w:rsidR="00C20456" w:rsidRPr="000A2EB9" w:rsidRDefault="001076B4" w:rsidP="00C20456">
      <w:pPr>
        <w:spacing w:line="360" w:lineRule="auto"/>
        <w:jc w:val="both"/>
        <w:rPr>
          <w:bCs/>
          <w:lang w:val="es-ES"/>
        </w:rPr>
      </w:pPr>
      <w:r w:rsidRPr="000A2EB9">
        <w:rPr>
          <w:bCs/>
          <w:lang w:val="es-ES"/>
        </w:rPr>
        <w:tab/>
      </w:r>
      <w:r w:rsidR="00C20456" w:rsidRPr="000A2EB9">
        <w:rPr>
          <w:bCs/>
          <w:lang w:val="es-ES"/>
        </w:rPr>
        <w:t>La Constitución Nacional argentina en su art. 16 establece</w:t>
      </w:r>
      <w:r w:rsidR="00C20456" w:rsidRPr="00D65E5A">
        <w:rPr>
          <w:lang w:val="es-ES"/>
        </w:rPr>
        <w:t xml:space="preserve"> que “</w:t>
      </w:r>
      <w:r w:rsidR="00C20456" w:rsidRPr="000A2EB9">
        <w:rPr>
          <w:bCs/>
          <w:i/>
          <w:iCs/>
          <w:lang w:val="es-ES"/>
        </w:rPr>
        <w:t>Todos sus habitantes son iguales ante la ley, y admisibles en los empleos sin otra condición que la idoneidad. La igualdad es la base del impuesto y de las cargas públicas</w:t>
      </w:r>
      <w:r w:rsidR="00C20456" w:rsidRPr="000A2EB9">
        <w:rPr>
          <w:bCs/>
          <w:lang w:val="es-ES"/>
        </w:rPr>
        <w:t xml:space="preserve">”, y los arts. </w:t>
      </w:r>
      <w:r w:rsidR="00C20456" w:rsidRPr="000A2EB9">
        <w:rPr>
          <w:bCs/>
          <w:lang w:val="es-ES"/>
        </w:rPr>
        <w:lastRenderedPageBreak/>
        <w:t>17 (</w:t>
      </w:r>
      <w:r w:rsidR="00C20456" w:rsidRPr="000A2EB9">
        <w:rPr>
          <w:rStyle w:val="Refdenotaalpie"/>
          <w:bCs/>
          <w:lang w:val="es-ES"/>
        </w:rPr>
        <w:footnoteReference w:id="20"/>
      </w:r>
      <w:r w:rsidR="00C20456" w:rsidRPr="000A2EB9">
        <w:rPr>
          <w:bCs/>
          <w:lang w:val="es-ES"/>
        </w:rPr>
        <w:t>) y 81 (</w:t>
      </w:r>
      <w:r w:rsidR="00C20456" w:rsidRPr="000A2EB9">
        <w:rPr>
          <w:rStyle w:val="Refdenotaalpie"/>
          <w:bCs/>
          <w:lang w:val="es-ES"/>
        </w:rPr>
        <w:footnoteReference w:id="21"/>
      </w:r>
      <w:r w:rsidR="00C20456" w:rsidRPr="000A2EB9">
        <w:rPr>
          <w:bCs/>
          <w:lang w:val="es-ES"/>
        </w:rPr>
        <w:t>) de la Ley de Contrato de Trabajo consagran claramente el deber del empleador de dar trato igualitario a sus dependientes</w:t>
      </w:r>
      <w:r w:rsidR="00C04A08" w:rsidRPr="000A2EB9">
        <w:rPr>
          <w:bCs/>
          <w:lang w:val="es-ES"/>
        </w:rPr>
        <w:t>, prohibiendo</w:t>
      </w:r>
      <w:r w:rsidR="00C20456" w:rsidRPr="000A2EB9">
        <w:rPr>
          <w:bCs/>
          <w:lang w:val="es-ES"/>
        </w:rPr>
        <w:t xml:space="preserve"> todo tipo de discriminación </w:t>
      </w:r>
      <w:r w:rsidR="00C04A08" w:rsidRPr="000A2EB9">
        <w:rPr>
          <w:bCs/>
          <w:lang w:val="es-ES"/>
        </w:rPr>
        <w:t xml:space="preserve">injusta </w:t>
      </w:r>
      <w:r w:rsidR="00C20456" w:rsidRPr="000A2EB9">
        <w:rPr>
          <w:bCs/>
          <w:lang w:val="es-ES"/>
        </w:rPr>
        <w:t xml:space="preserve">entre éstos. </w:t>
      </w:r>
    </w:p>
    <w:p w14:paraId="06405718" w14:textId="054BB372" w:rsidR="001C4A94" w:rsidRPr="000A2EB9" w:rsidRDefault="00C20456" w:rsidP="00C20456">
      <w:pPr>
        <w:spacing w:line="360" w:lineRule="auto"/>
        <w:jc w:val="both"/>
        <w:rPr>
          <w:bCs/>
          <w:lang w:val="es-ES"/>
        </w:rPr>
      </w:pPr>
      <w:r w:rsidRPr="000A2EB9">
        <w:rPr>
          <w:bCs/>
          <w:lang w:val="es-ES"/>
        </w:rPr>
        <w:tab/>
        <w:t>En 1988 el Congreso Nacional dictó la ley 2</w:t>
      </w:r>
      <w:r w:rsidR="001C4A94" w:rsidRPr="000A2EB9">
        <w:rPr>
          <w:bCs/>
          <w:lang w:val="es-ES"/>
        </w:rPr>
        <w:t>3</w:t>
      </w:r>
      <w:r w:rsidRPr="000A2EB9">
        <w:rPr>
          <w:bCs/>
          <w:lang w:val="es-ES"/>
        </w:rPr>
        <w:t xml:space="preserve">.592 con el objetivo inmediato de enfrentar situaciones de trato discriminatorio que la sociedad </w:t>
      </w:r>
      <w:r w:rsidR="001C4A94" w:rsidRPr="000A2EB9">
        <w:rPr>
          <w:bCs/>
          <w:lang w:val="es-ES"/>
        </w:rPr>
        <w:t xml:space="preserve">civil </w:t>
      </w:r>
      <w:r w:rsidRPr="000A2EB9">
        <w:rPr>
          <w:bCs/>
          <w:lang w:val="es-ES"/>
        </w:rPr>
        <w:t>estaba padeciendo. No obstante ese origen</w:t>
      </w:r>
      <w:r w:rsidR="00C04A08" w:rsidRPr="000A2EB9">
        <w:rPr>
          <w:bCs/>
          <w:lang w:val="es-ES"/>
        </w:rPr>
        <w:t xml:space="preserve"> alejando del ámbito laboral</w:t>
      </w:r>
      <w:r w:rsidRPr="000A2EB9">
        <w:rPr>
          <w:bCs/>
          <w:lang w:val="es-ES"/>
        </w:rPr>
        <w:t xml:space="preserve">, durante el trámite parlamentario se amplió la gama de actos considerados </w:t>
      </w:r>
      <w:r w:rsidR="001C4A94" w:rsidRPr="000A2EB9">
        <w:rPr>
          <w:bCs/>
          <w:lang w:val="es-ES"/>
        </w:rPr>
        <w:t>por dicha ley y el art. 1 terminó conceptualizando como</w:t>
      </w:r>
      <w:r w:rsidR="00C04A08" w:rsidRPr="000A2EB9">
        <w:rPr>
          <w:bCs/>
          <w:lang w:val="es-ES"/>
        </w:rPr>
        <w:t xml:space="preserve"> </w:t>
      </w:r>
      <w:r w:rsidR="001C4A94" w:rsidRPr="000A2EB9">
        <w:rPr>
          <w:bCs/>
          <w:lang w:val="es-ES"/>
        </w:rPr>
        <w:t xml:space="preserve">discriminatorios los actos u omisiones determinados por motivos tales como raza, religión, nacionalidad, ideología, opinión política o gremial, sexo, posición económica, condición social o caracteres físicos. </w:t>
      </w:r>
    </w:p>
    <w:p w14:paraId="7952AEFB" w14:textId="77777777" w:rsidR="00C04A08" w:rsidRPr="000A2EB9" w:rsidRDefault="001C4A94" w:rsidP="001C4A94">
      <w:pPr>
        <w:spacing w:line="360" w:lineRule="auto"/>
        <w:ind w:firstLine="720"/>
        <w:jc w:val="both"/>
        <w:rPr>
          <w:bCs/>
          <w:lang w:val="es-ES"/>
        </w:rPr>
      </w:pPr>
      <w:r w:rsidRPr="000A2EB9">
        <w:rPr>
          <w:bCs/>
          <w:lang w:val="es-ES"/>
        </w:rPr>
        <w:t xml:space="preserve">La inclusión de la opinión gremial provocó en el Derecho del Trabajo </w:t>
      </w:r>
      <w:r w:rsidR="009023E1" w:rsidRPr="000A2EB9">
        <w:rPr>
          <w:bCs/>
          <w:lang w:val="es-ES"/>
        </w:rPr>
        <w:t xml:space="preserve">un fuerte debate que terminaría aportando </w:t>
      </w:r>
      <w:r w:rsidRPr="000A2EB9">
        <w:rPr>
          <w:bCs/>
          <w:lang w:val="es-ES"/>
        </w:rPr>
        <w:t xml:space="preserve">una </w:t>
      </w:r>
      <w:r w:rsidR="009023E1" w:rsidRPr="000A2EB9">
        <w:rPr>
          <w:bCs/>
          <w:lang w:val="es-ES"/>
        </w:rPr>
        <w:t xml:space="preserve">gran </w:t>
      </w:r>
      <w:r w:rsidRPr="000A2EB9">
        <w:rPr>
          <w:bCs/>
          <w:lang w:val="es-ES"/>
        </w:rPr>
        <w:t xml:space="preserve">innovación ya que ese mismo art. 1 prevé la posibilidad de que, a pedido del interesado, se deje sin efecto el acto discriminatorio, más allá de </w:t>
      </w:r>
      <w:r w:rsidR="00924765" w:rsidRPr="000A2EB9">
        <w:rPr>
          <w:bCs/>
          <w:lang w:val="es-ES"/>
        </w:rPr>
        <w:t>su</w:t>
      </w:r>
      <w:r w:rsidRPr="000A2EB9">
        <w:rPr>
          <w:bCs/>
          <w:lang w:val="es-ES"/>
        </w:rPr>
        <w:t xml:space="preserve"> derecho a obtener la reparación del daño moral y material ocasionados.</w:t>
      </w:r>
      <w:r w:rsidR="009023E1" w:rsidRPr="000A2EB9">
        <w:rPr>
          <w:bCs/>
          <w:lang w:val="es-ES"/>
        </w:rPr>
        <w:t xml:space="preserve"> </w:t>
      </w:r>
    </w:p>
    <w:p w14:paraId="0CC117D0" w14:textId="442FD031" w:rsidR="00C20456" w:rsidRPr="000A2EB9" w:rsidRDefault="009023E1" w:rsidP="001C4A94">
      <w:pPr>
        <w:spacing w:line="360" w:lineRule="auto"/>
        <w:ind w:firstLine="720"/>
        <w:jc w:val="both"/>
        <w:rPr>
          <w:bCs/>
          <w:lang w:val="es-ES"/>
        </w:rPr>
      </w:pPr>
      <w:r w:rsidRPr="000A2EB9">
        <w:rPr>
          <w:bCs/>
          <w:lang w:val="es-ES"/>
        </w:rPr>
        <w:t>Si bien el texto del art. 1 de la ley 23.592 es similar al del antes citado art. 47 de la ley 23.551 de Asociaciones Profesionales de Trabajadores, contemporáneo de la ley 23.592, la posibilidad de peticionar y decretar la nulidad del despido dispuesto, discriminatoriamente, por motivo gremial se abrió paso rápidamente incluso en la jurisprudencia.</w:t>
      </w:r>
    </w:p>
    <w:p w14:paraId="4D9C6BF7" w14:textId="77777777" w:rsidR="00C04A08" w:rsidRPr="000A2EB9" w:rsidRDefault="00C20456" w:rsidP="00C20456">
      <w:pPr>
        <w:spacing w:line="360" w:lineRule="auto"/>
        <w:jc w:val="both"/>
        <w:rPr>
          <w:bCs/>
          <w:lang w:val="es-ES"/>
        </w:rPr>
      </w:pPr>
      <w:r w:rsidRPr="000A2EB9">
        <w:rPr>
          <w:bCs/>
          <w:lang w:val="es-ES"/>
        </w:rPr>
        <w:t xml:space="preserve"> </w:t>
      </w:r>
      <w:r w:rsidRPr="000A2EB9">
        <w:rPr>
          <w:bCs/>
          <w:lang w:val="es-ES"/>
        </w:rPr>
        <w:tab/>
      </w:r>
      <w:r w:rsidR="00921B79" w:rsidRPr="000A2EB9">
        <w:rPr>
          <w:bCs/>
          <w:lang w:val="es-ES"/>
        </w:rPr>
        <w:t>Diez años después, la ley 25.013 introdujo el concepto de despido discriminatorio</w:t>
      </w:r>
      <w:r w:rsidR="009023E1" w:rsidRPr="000A2EB9">
        <w:rPr>
          <w:bCs/>
          <w:lang w:val="es-ES"/>
        </w:rPr>
        <w:t xml:space="preserve"> en la legislación laboral específica, ya que su </w:t>
      </w:r>
      <w:r w:rsidR="00921B79" w:rsidRPr="000A2EB9">
        <w:rPr>
          <w:bCs/>
          <w:lang w:val="es-ES"/>
        </w:rPr>
        <w:t xml:space="preserve">art. 11 </w:t>
      </w:r>
      <w:r w:rsidR="009023E1" w:rsidRPr="000A2EB9">
        <w:rPr>
          <w:bCs/>
          <w:lang w:val="es-ES"/>
        </w:rPr>
        <w:t>definió el concepto de despido discriminatorio como el originado en motivos de raza, nacionalidad, sexo, orientación sexual, religión, ideología, u opinión política o gremial</w:t>
      </w:r>
      <w:r w:rsidR="00C04A08" w:rsidRPr="000A2EB9">
        <w:rPr>
          <w:bCs/>
          <w:lang w:val="es-ES"/>
        </w:rPr>
        <w:t xml:space="preserve">. </w:t>
      </w:r>
    </w:p>
    <w:p w14:paraId="21787AE9" w14:textId="3012B4A8" w:rsidR="009023E1" w:rsidRPr="000A2EB9" w:rsidRDefault="00C04A08" w:rsidP="00C20456">
      <w:pPr>
        <w:spacing w:line="360" w:lineRule="auto"/>
        <w:jc w:val="both"/>
        <w:rPr>
          <w:bCs/>
          <w:lang w:val="es-ES"/>
        </w:rPr>
      </w:pPr>
      <w:r w:rsidRPr="000A2EB9">
        <w:rPr>
          <w:bCs/>
          <w:lang w:val="es-ES"/>
        </w:rPr>
        <w:t xml:space="preserve"> </w:t>
      </w:r>
      <w:r w:rsidRPr="000A2EB9">
        <w:rPr>
          <w:bCs/>
          <w:lang w:val="es-ES"/>
        </w:rPr>
        <w:tab/>
        <w:t>Em</w:t>
      </w:r>
      <w:r w:rsidR="009023E1" w:rsidRPr="000A2EB9">
        <w:rPr>
          <w:bCs/>
          <w:lang w:val="es-ES"/>
        </w:rPr>
        <w:t>pero</w:t>
      </w:r>
      <w:r w:rsidRPr="000A2EB9">
        <w:rPr>
          <w:bCs/>
          <w:lang w:val="es-ES"/>
        </w:rPr>
        <w:t>,</w:t>
      </w:r>
      <w:r w:rsidR="009023E1" w:rsidRPr="000A2EB9">
        <w:rPr>
          <w:bCs/>
          <w:lang w:val="es-ES"/>
        </w:rPr>
        <w:t xml:space="preserve"> </w:t>
      </w:r>
      <w:r w:rsidRPr="000A2EB9">
        <w:rPr>
          <w:bCs/>
          <w:lang w:val="es-ES"/>
        </w:rPr>
        <w:t xml:space="preserve">esa norma laboral </w:t>
      </w:r>
      <w:r w:rsidR="009023E1" w:rsidRPr="000A2EB9">
        <w:rPr>
          <w:bCs/>
          <w:lang w:val="es-ES"/>
        </w:rPr>
        <w:t xml:space="preserve">estableció un régimen sancionatorio específico: en tal caso la indemnización por despido injustificado se debía incrementar en un 30% por ciento y para el cálculo de dicho resarcimiento no se aplicaría el tope salarial que las leyes prevén a la hora de calcular las indemnizaciones. </w:t>
      </w:r>
    </w:p>
    <w:p w14:paraId="48850372" w14:textId="1A0C6296" w:rsidR="00C43D05" w:rsidRPr="000A2EB9" w:rsidRDefault="009023E1" w:rsidP="00C20456">
      <w:pPr>
        <w:spacing w:line="360" w:lineRule="auto"/>
        <w:jc w:val="both"/>
        <w:rPr>
          <w:bCs/>
          <w:lang w:val="es-ES"/>
        </w:rPr>
      </w:pPr>
      <w:r w:rsidRPr="000A2EB9">
        <w:rPr>
          <w:bCs/>
          <w:lang w:val="es-ES"/>
        </w:rPr>
        <w:tab/>
        <w:t xml:space="preserve">Mientras rigió el art. 11 de la ley 25.013 un segmento doctrinario </w:t>
      </w:r>
      <w:r w:rsidR="00C04A08" w:rsidRPr="000A2EB9">
        <w:rPr>
          <w:bCs/>
          <w:lang w:val="es-ES"/>
        </w:rPr>
        <w:t xml:space="preserve">defendió la tesis de </w:t>
      </w:r>
      <w:r w:rsidRPr="000A2EB9">
        <w:rPr>
          <w:bCs/>
          <w:lang w:val="es-ES"/>
        </w:rPr>
        <w:t>que</w:t>
      </w:r>
      <w:r w:rsidR="00C04A08" w:rsidRPr="000A2EB9">
        <w:rPr>
          <w:bCs/>
          <w:lang w:val="es-ES"/>
        </w:rPr>
        <w:t>,</w:t>
      </w:r>
      <w:r w:rsidRPr="000A2EB9">
        <w:rPr>
          <w:bCs/>
          <w:lang w:val="es-ES"/>
        </w:rPr>
        <w:t xml:space="preserve"> por ser ley especial y posterior</w:t>
      </w:r>
      <w:r w:rsidR="00C04A08" w:rsidRPr="000A2EB9">
        <w:rPr>
          <w:bCs/>
          <w:lang w:val="es-ES"/>
        </w:rPr>
        <w:t>,</w:t>
      </w:r>
      <w:r w:rsidRPr="000A2EB9">
        <w:rPr>
          <w:bCs/>
          <w:lang w:val="es-ES"/>
        </w:rPr>
        <w:t xml:space="preserve"> ese régimen sancionatorio del despido </w:t>
      </w:r>
      <w:r w:rsidR="00C04A08" w:rsidRPr="000A2EB9">
        <w:rPr>
          <w:bCs/>
          <w:lang w:val="es-ES"/>
        </w:rPr>
        <w:t xml:space="preserve">discriminatorio, </w:t>
      </w:r>
      <w:r w:rsidRPr="000A2EB9">
        <w:rPr>
          <w:bCs/>
          <w:lang w:val="es-ES"/>
        </w:rPr>
        <w:t xml:space="preserve">desplazaba la </w:t>
      </w:r>
      <w:r w:rsidR="00BC6463" w:rsidRPr="000A2EB9">
        <w:rPr>
          <w:bCs/>
          <w:lang w:val="es-ES"/>
        </w:rPr>
        <w:t xml:space="preserve">aplicación de la </w:t>
      </w:r>
      <w:r w:rsidRPr="000A2EB9">
        <w:rPr>
          <w:bCs/>
          <w:lang w:val="es-ES"/>
        </w:rPr>
        <w:t xml:space="preserve">regla del art. 1 de la ley general antidiscriminatoria. </w:t>
      </w:r>
    </w:p>
    <w:p w14:paraId="634B435B" w14:textId="76AA34B9" w:rsidR="009023E1" w:rsidRPr="000A2EB9" w:rsidRDefault="00C43D05" w:rsidP="00C20456">
      <w:pPr>
        <w:spacing w:line="360" w:lineRule="auto"/>
        <w:jc w:val="both"/>
        <w:rPr>
          <w:bCs/>
          <w:lang w:val="es-ES"/>
        </w:rPr>
      </w:pPr>
      <w:r w:rsidRPr="000A2EB9">
        <w:rPr>
          <w:bCs/>
          <w:lang w:val="es-ES"/>
        </w:rPr>
        <w:t xml:space="preserve"> </w:t>
      </w:r>
      <w:r w:rsidRPr="000A2EB9">
        <w:rPr>
          <w:bCs/>
          <w:lang w:val="es-ES"/>
        </w:rPr>
        <w:tab/>
      </w:r>
      <w:r w:rsidR="009023E1" w:rsidRPr="000A2EB9">
        <w:rPr>
          <w:bCs/>
          <w:lang w:val="es-ES"/>
        </w:rPr>
        <w:t xml:space="preserve">Sin embargo, en el año 2004 la ley 25.877 derogó el art. 11 de la ley 25.013, con lo que ese argumento quedó sin sustento y </w:t>
      </w:r>
      <w:r w:rsidR="00C04A08" w:rsidRPr="000A2EB9">
        <w:rPr>
          <w:bCs/>
          <w:lang w:val="es-ES"/>
        </w:rPr>
        <w:t xml:space="preserve">se abrió </w:t>
      </w:r>
      <w:r w:rsidR="009023E1" w:rsidRPr="000A2EB9">
        <w:rPr>
          <w:bCs/>
          <w:lang w:val="es-ES"/>
        </w:rPr>
        <w:t>la posibilidad de calificar como discriminatorio al despido con motivación gremial, para aquellos supuestos no alcanzados por la ley 23.551 de Asociaciones Profesionales (</w:t>
      </w:r>
      <w:r w:rsidR="009023E1" w:rsidRPr="000A2EB9">
        <w:rPr>
          <w:rStyle w:val="Refdenotaalpie"/>
          <w:bCs/>
          <w:lang w:val="es-ES"/>
        </w:rPr>
        <w:footnoteReference w:id="22"/>
      </w:r>
      <w:r w:rsidR="009023E1" w:rsidRPr="000A2EB9">
        <w:rPr>
          <w:bCs/>
          <w:lang w:val="es-ES"/>
        </w:rPr>
        <w:t>)</w:t>
      </w:r>
      <w:r w:rsidRPr="000A2EB9">
        <w:rPr>
          <w:bCs/>
          <w:lang w:val="es-ES"/>
        </w:rPr>
        <w:t xml:space="preserve">. </w:t>
      </w:r>
    </w:p>
    <w:p w14:paraId="106C2232" w14:textId="3FF791C7" w:rsidR="00C20456" w:rsidRPr="000A2EB9" w:rsidRDefault="00C43D05" w:rsidP="00C43D05">
      <w:pPr>
        <w:spacing w:line="360" w:lineRule="auto"/>
        <w:jc w:val="both"/>
        <w:rPr>
          <w:bCs/>
          <w:lang w:val="es-ES"/>
        </w:rPr>
      </w:pPr>
      <w:r w:rsidRPr="000A2EB9">
        <w:rPr>
          <w:bCs/>
          <w:lang w:val="es-ES"/>
        </w:rPr>
        <w:lastRenderedPageBreak/>
        <w:tab/>
        <w:t>Por otra parte, la amplia conceptualización del concepto de motivación discriminatoria inscripta en el art. 1 de la ley 23.592 permitió también su utilización en otros supuestos distintos al más habitual de la causa gremial</w:t>
      </w:r>
      <w:r w:rsidR="00C04A08" w:rsidRPr="000A2EB9">
        <w:rPr>
          <w:bCs/>
          <w:lang w:val="es-ES"/>
        </w:rPr>
        <w:t xml:space="preserve"> (</w:t>
      </w:r>
      <w:r w:rsidR="00C04A08" w:rsidRPr="000A2EB9">
        <w:rPr>
          <w:rStyle w:val="Refdenotaalpie"/>
          <w:bCs/>
          <w:lang w:val="es-ES"/>
        </w:rPr>
        <w:footnoteReference w:id="23"/>
      </w:r>
      <w:r w:rsidR="00C04A08" w:rsidRPr="000A2EB9">
        <w:rPr>
          <w:bCs/>
          <w:lang w:val="es-ES"/>
        </w:rPr>
        <w:t>)</w:t>
      </w:r>
      <w:r w:rsidR="00924765" w:rsidRPr="000A2EB9">
        <w:rPr>
          <w:bCs/>
          <w:lang w:val="es-ES"/>
        </w:rPr>
        <w:t>, aunque esta última es, por mucho, la que más resoluciones judiciales ha generado.</w:t>
      </w:r>
    </w:p>
    <w:p w14:paraId="1AD9D52E" w14:textId="2332E1F9" w:rsidR="00C43D05" w:rsidRPr="000A2EB9" w:rsidRDefault="00C43D05" w:rsidP="00C20456">
      <w:pPr>
        <w:spacing w:line="360" w:lineRule="auto"/>
        <w:jc w:val="both"/>
        <w:rPr>
          <w:bCs/>
          <w:lang w:val="es-ES"/>
        </w:rPr>
      </w:pPr>
      <w:r w:rsidRPr="000A2EB9">
        <w:rPr>
          <w:bCs/>
          <w:lang w:val="es-ES"/>
        </w:rPr>
        <w:tab/>
        <w:t xml:space="preserve">Así las cosas y otorgada carta de ciudadanía laboral al despido discriminatorio fuera de la ley 23.551 de Asociaciones Profesionales se planteó una nueva divergencia interpretativa que vino a resolver la Corte Suprema en el precedente </w:t>
      </w:r>
      <w:r w:rsidRPr="000A2EB9">
        <w:rPr>
          <w:b/>
          <w:lang w:val="es-ES"/>
        </w:rPr>
        <w:t>“</w:t>
      </w:r>
      <w:r w:rsidR="00C20456" w:rsidRPr="000A2EB9">
        <w:rPr>
          <w:b/>
          <w:lang w:val="es-ES"/>
        </w:rPr>
        <w:t>Álvarez, Maximiliano y otros c/ Cencosud SA</w:t>
      </w:r>
      <w:r w:rsidRPr="000A2EB9">
        <w:rPr>
          <w:b/>
          <w:lang w:val="es-ES"/>
        </w:rPr>
        <w:t>”</w:t>
      </w:r>
      <w:r w:rsidRPr="000A2EB9">
        <w:rPr>
          <w:bCs/>
          <w:lang w:val="es-ES"/>
        </w:rPr>
        <w:t xml:space="preserve"> de fecha 07/12/2010.</w:t>
      </w:r>
    </w:p>
    <w:p w14:paraId="0F45FCF2" w14:textId="7C7F18CE" w:rsidR="00924765" w:rsidRPr="000A2EB9" w:rsidRDefault="00924765" w:rsidP="00C20456">
      <w:pPr>
        <w:spacing w:line="360" w:lineRule="auto"/>
        <w:jc w:val="both"/>
        <w:rPr>
          <w:bCs/>
          <w:lang w:val="es-ES"/>
        </w:rPr>
      </w:pPr>
      <w:r w:rsidRPr="000A2EB9">
        <w:rPr>
          <w:bCs/>
          <w:lang w:val="es-ES"/>
        </w:rPr>
        <w:tab/>
        <w:t xml:space="preserve">Al igual que había ocurrido con el ya aludido art. 47 de la Ley de Asociaciones Profesionales, una parte de la doctrina y la jurisprudencia sostuvo que el texto del art. 1 de la ley 23.592, en tanto indica que a pedido del interesado se podrá dejar sin efecto el acto discriminatorio, es decir el despido, no habilita un caso de </w:t>
      </w:r>
      <w:r w:rsidR="00DE22BD" w:rsidRPr="000A2EB9">
        <w:rPr>
          <w:bCs/>
          <w:lang w:val="es-ES"/>
        </w:rPr>
        <w:t>estabilidad propia</w:t>
      </w:r>
      <w:r w:rsidRPr="000A2EB9">
        <w:rPr>
          <w:bCs/>
          <w:lang w:val="es-ES"/>
        </w:rPr>
        <w:t xml:space="preserve"> puesto que ello alteraría el régimen de </w:t>
      </w:r>
      <w:r w:rsidR="00DE22BD" w:rsidRPr="000A2EB9">
        <w:rPr>
          <w:bCs/>
          <w:lang w:val="es-ES"/>
        </w:rPr>
        <w:t>estabilidad impropia</w:t>
      </w:r>
      <w:r w:rsidRPr="000A2EB9">
        <w:rPr>
          <w:bCs/>
          <w:lang w:val="es-ES"/>
        </w:rPr>
        <w:t xml:space="preserve"> de la Ley de Contrato de Trabajo</w:t>
      </w:r>
      <w:r w:rsidR="00BC6463" w:rsidRPr="000A2EB9">
        <w:rPr>
          <w:bCs/>
          <w:lang w:val="es-ES"/>
        </w:rPr>
        <w:t>.</w:t>
      </w:r>
      <w:r w:rsidRPr="000A2EB9">
        <w:rPr>
          <w:bCs/>
          <w:lang w:val="es-ES"/>
        </w:rPr>
        <w:t xml:space="preserve"> </w:t>
      </w:r>
    </w:p>
    <w:p w14:paraId="56FDEF0D" w14:textId="0E8CAE41" w:rsidR="00924765" w:rsidRPr="000A2EB9" w:rsidRDefault="00924765" w:rsidP="00C20456">
      <w:pPr>
        <w:spacing w:line="360" w:lineRule="auto"/>
        <w:jc w:val="both"/>
        <w:rPr>
          <w:bCs/>
          <w:lang w:val="es-ES"/>
        </w:rPr>
      </w:pPr>
      <w:r w:rsidRPr="000A2EB9">
        <w:rPr>
          <w:bCs/>
          <w:lang w:val="es-ES"/>
        </w:rPr>
        <w:tab/>
        <w:t xml:space="preserve">Pues bien, ese pensamiento divergente se dio en la sentencia de la Sala II de la </w:t>
      </w:r>
      <w:r w:rsidR="002663EC" w:rsidRPr="000A2EB9">
        <w:rPr>
          <w:bCs/>
          <w:lang w:val="es-ES"/>
        </w:rPr>
        <w:t xml:space="preserve">Cámara Nacional de Apelaciones del Trabajo de la Capital Federal, desde ahora </w:t>
      </w:r>
      <w:r w:rsidRPr="000A2EB9">
        <w:rPr>
          <w:bCs/>
          <w:lang w:val="es-ES"/>
        </w:rPr>
        <w:t>CNAT</w:t>
      </w:r>
      <w:r w:rsidR="002663EC" w:rsidRPr="000A2EB9">
        <w:rPr>
          <w:bCs/>
          <w:lang w:val="es-ES"/>
        </w:rPr>
        <w:t>,</w:t>
      </w:r>
      <w:r w:rsidRPr="000A2EB9">
        <w:rPr>
          <w:bCs/>
          <w:lang w:val="es-ES"/>
        </w:rPr>
        <w:t xml:space="preserve"> en la causa “</w:t>
      </w:r>
      <w:r w:rsidR="009B5C5C" w:rsidRPr="000A2EB9">
        <w:rPr>
          <w:bCs/>
          <w:lang w:val="es-ES"/>
        </w:rPr>
        <w:t>Álvarez</w:t>
      </w:r>
      <w:r w:rsidRPr="000A2EB9">
        <w:rPr>
          <w:bCs/>
          <w:lang w:val="es-ES"/>
        </w:rPr>
        <w:t xml:space="preserve">” en el que la minoría se alineó en tal postura, negando, pues, la solicitud de los </w:t>
      </w:r>
      <w:r w:rsidR="00001A51" w:rsidRPr="000A2EB9">
        <w:rPr>
          <w:bCs/>
          <w:lang w:val="es-ES"/>
        </w:rPr>
        <w:t xml:space="preserve">6 </w:t>
      </w:r>
      <w:r w:rsidRPr="000A2EB9">
        <w:rPr>
          <w:bCs/>
          <w:lang w:val="es-ES"/>
        </w:rPr>
        <w:t>accionantes de ser reinstalados luego de la declaración de nulidad del despido por ser discriminatorio</w:t>
      </w:r>
      <w:r w:rsidR="009B5C5C" w:rsidRPr="000A2EB9">
        <w:rPr>
          <w:bCs/>
          <w:lang w:val="es-ES"/>
        </w:rPr>
        <w:t xml:space="preserve"> y esa fue la solicitud planteada en el recurso extraordinario </w:t>
      </w:r>
      <w:r w:rsidR="00BC6463" w:rsidRPr="000A2EB9">
        <w:rPr>
          <w:bCs/>
          <w:lang w:val="es-ES"/>
        </w:rPr>
        <w:t xml:space="preserve">de la demandada </w:t>
      </w:r>
      <w:r w:rsidR="009B5C5C" w:rsidRPr="000A2EB9">
        <w:rPr>
          <w:bCs/>
          <w:lang w:val="es-ES"/>
        </w:rPr>
        <w:t>que dio lugar a la intervención del Máximo Tribunal argentino.</w:t>
      </w:r>
    </w:p>
    <w:p w14:paraId="6F240921" w14:textId="31D344C4" w:rsidR="00C43D05" w:rsidRPr="000A2EB9" w:rsidRDefault="009B5C5C" w:rsidP="00001A51">
      <w:pPr>
        <w:spacing w:line="360" w:lineRule="auto"/>
        <w:jc w:val="both"/>
        <w:rPr>
          <w:bCs/>
          <w:lang w:val="es-ES"/>
        </w:rPr>
      </w:pPr>
      <w:r w:rsidRPr="000A2EB9">
        <w:rPr>
          <w:bCs/>
          <w:lang w:val="es-ES"/>
        </w:rPr>
        <w:tab/>
      </w:r>
      <w:r w:rsidR="00BC6463" w:rsidRPr="000A2EB9">
        <w:rPr>
          <w:bCs/>
          <w:lang w:val="es-ES"/>
        </w:rPr>
        <w:t>Cabe decir que l</w:t>
      </w:r>
      <w:r w:rsidRPr="000A2EB9">
        <w:rPr>
          <w:bCs/>
          <w:lang w:val="es-ES"/>
        </w:rPr>
        <w:t xml:space="preserve">os </w:t>
      </w:r>
      <w:r w:rsidR="00BC6463" w:rsidRPr="000A2EB9">
        <w:rPr>
          <w:bCs/>
          <w:lang w:val="es-ES"/>
        </w:rPr>
        <w:t xml:space="preserve">codemandantes </w:t>
      </w:r>
      <w:r w:rsidRPr="000A2EB9">
        <w:rPr>
          <w:bCs/>
          <w:lang w:val="es-ES"/>
        </w:rPr>
        <w:t xml:space="preserve">de la causa “Álvarez” quedaron excluidos del Convenio Colectivo </w:t>
      </w:r>
      <w:r w:rsidR="00001A51" w:rsidRPr="000A2EB9">
        <w:rPr>
          <w:bCs/>
          <w:lang w:val="es-ES"/>
        </w:rPr>
        <w:t xml:space="preserve">130/75 </w:t>
      </w:r>
      <w:r w:rsidRPr="000A2EB9">
        <w:rPr>
          <w:bCs/>
          <w:lang w:val="es-ES"/>
        </w:rPr>
        <w:t xml:space="preserve">que aplicaba la demandada </w:t>
      </w:r>
      <w:r w:rsidR="00001A51" w:rsidRPr="000A2EB9">
        <w:rPr>
          <w:bCs/>
          <w:lang w:val="es-ES"/>
        </w:rPr>
        <w:t xml:space="preserve">por entender la entidad gremial que su carácter de “asesores” justificaba que no fuesen regidos por dicha Convención Colectiva </w:t>
      </w:r>
      <w:r w:rsidRPr="000A2EB9">
        <w:rPr>
          <w:bCs/>
          <w:lang w:val="es-ES"/>
        </w:rPr>
        <w:t xml:space="preserve">y, por ende, </w:t>
      </w:r>
      <w:r w:rsidR="00001A51" w:rsidRPr="000A2EB9">
        <w:rPr>
          <w:bCs/>
          <w:lang w:val="es-ES"/>
        </w:rPr>
        <w:t xml:space="preserve">esos dependientes </w:t>
      </w:r>
      <w:r w:rsidRPr="000A2EB9">
        <w:rPr>
          <w:bCs/>
          <w:lang w:val="es-ES"/>
        </w:rPr>
        <w:t>se consideraron no representados por el gremio respectivo</w:t>
      </w:r>
      <w:r w:rsidR="00001A51" w:rsidRPr="000A2EB9">
        <w:rPr>
          <w:bCs/>
          <w:lang w:val="es-ES"/>
        </w:rPr>
        <w:t>, el Sindicato de Empleados de Comercio</w:t>
      </w:r>
      <w:r w:rsidRPr="000A2EB9">
        <w:rPr>
          <w:bCs/>
          <w:lang w:val="es-ES"/>
        </w:rPr>
        <w:t>. Ante ello, decidieron formar una asociación profesional que representara al personal de la empresa excluido del Convenio Colectivo y pedir la simple inscripción que prevé el art. 14 bis de la Constitución Nacional para gozar de la “personería jurídica” como entidad sindical</w:t>
      </w:r>
      <w:r w:rsidR="00473A1C" w:rsidRPr="000A2EB9">
        <w:rPr>
          <w:bCs/>
          <w:lang w:val="es-ES"/>
        </w:rPr>
        <w:t xml:space="preserve"> y, así, fundaron</w:t>
      </w:r>
      <w:r w:rsidR="00001A51" w:rsidRPr="00D65E5A">
        <w:rPr>
          <w:lang w:val="es-ES"/>
        </w:rPr>
        <w:t xml:space="preserve"> el </w:t>
      </w:r>
      <w:r w:rsidR="00001A51" w:rsidRPr="000A2EB9">
        <w:rPr>
          <w:bCs/>
          <w:lang w:val="es-ES"/>
        </w:rPr>
        <w:t>Sindicato de Empleados Jerárquicos de Comercio, que obtuvo la inscripción en el registro de la Dirección Nacional de Asociaciones Sindicales del Ministerio del Trabajo, Empleo y Seguridad Social de la Nación el 30 de marzo de 2006.</w:t>
      </w:r>
    </w:p>
    <w:p w14:paraId="4FE14D05" w14:textId="46682906" w:rsidR="009B5C5C" w:rsidRPr="000A2EB9" w:rsidRDefault="009B5C5C" w:rsidP="00C20456">
      <w:pPr>
        <w:spacing w:line="360" w:lineRule="auto"/>
        <w:jc w:val="both"/>
        <w:rPr>
          <w:bCs/>
          <w:lang w:val="es-ES"/>
        </w:rPr>
      </w:pPr>
      <w:r w:rsidRPr="000A2EB9">
        <w:rPr>
          <w:bCs/>
          <w:lang w:val="es-ES"/>
        </w:rPr>
        <w:tab/>
        <w:t xml:space="preserve">En ese trance los coactores fueron despedidos por la demandada sin invocación de causa y en el proceso que iniciaron quedó establecido que tales despidos fueron </w:t>
      </w:r>
      <w:r w:rsidRPr="000A2EB9">
        <w:rPr>
          <w:bCs/>
          <w:lang w:val="es-ES"/>
        </w:rPr>
        <w:lastRenderedPageBreak/>
        <w:t>discriminatorios ya que tuvieron por motivación la actividad sindical de los pretensores</w:t>
      </w:r>
      <w:r w:rsidR="00473A1C" w:rsidRPr="000A2EB9">
        <w:rPr>
          <w:bCs/>
          <w:lang w:val="es-ES"/>
        </w:rPr>
        <w:t xml:space="preserve">. Por </w:t>
      </w:r>
      <w:r w:rsidRPr="000A2EB9">
        <w:rPr>
          <w:bCs/>
          <w:lang w:val="es-ES"/>
        </w:rPr>
        <w:t>mayoría</w:t>
      </w:r>
      <w:r w:rsidR="00473A1C" w:rsidRPr="000A2EB9">
        <w:rPr>
          <w:bCs/>
          <w:lang w:val="es-ES"/>
        </w:rPr>
        <w:t>,</w:t>
      </w:r>
      <w:r w:rsidRPr="000A2EB9">
        <w:rPr>
          <w:bCs/>
          <w:lang w:val="es-ES"/>
        </w:rPr>
        <w:t xml:space="preserve"> la Cámara ordenó la reinstalación pedida en virtud de la nulidad de las extinciones.</w:t>
      </w:r>
    </w:p>
    <w:p w14:paraId="3D744FAE" w14:textId="77777777" w:rsidR="00473A1C" w:rsidRPr="000A2EB9" w:rsidRDefault="009B5C5C" w:rsidP="00C90EF2">
      <w:pPr>
        <w:spacing w:line="360" w:lineRule="auto"/>
        <w:jc w:val="both"/>
        <w:rPr>
          <w:bCs/>
          <w:lang w:val="es-ES"/>
        </w:rPr>
      </w:pPr>
      <w:r w:rsidRPr="000A2EB9">
        <w:rPr>
          <w:bCs/>
          <w:lang w:val="es-ES"/>
        </w:rPr>
        <w:tab/>
      </w:r>
      <w:r w:rsidR="0019507E" w:rsidRPr="000A2EB9">
        <w:rPr>
          <w:bCs/>
          <w:lang w:val="es-ES"/>
        </w:rPr>
        <w:t>Pues bien, a la época en que este fallo fue dictado la Corte Suprema estaba compuesta por 7 jueces (</w:t>
      </w:r>
      <w:r w:rsidR="0019507E" w:rsidRPr="000A2EB9">
        <w:rPr>
          <w:rStyle w:val="Refdenotaalpie"/>
          <w:bCs/>
          <w:lang w:val="es-ES"/>
        </w:rPr>
        <w:footnoteReference w:id="24"/>
      </w:r>
      <w:r w:rsidR="0019507E" w:rsidRPr="000A2EB9">
        <w:rPr>
          <w:bCs/>
          <w:lang w:val="es-ES"/>
        </w:rPr>
        <w:t>)</w:t>
      </w:r>
      <w:r w:rsidR="00D83C31" w:rsidRPr="000A2EB9">
        <w:rPr>
          <w:bCs/>
          <w:lang w:val="es-ES"/>
        </w:rPr>
        <w:t xml:space="preserve"> y es muy interesante anticipar que por unanimidad dicho Tribunal consolidó la doctrina que admite que la ley 23.592 es plenamente aplicable al ámbito del Derecho del Trabajo. </w:t>
      </w:r>
    </w:p>
    <w:p w14:paraId="2D926686" w14:textId="4EB56804" w:rsidR="00C43D05" w:rsidRPr="000A2EB9" w:rsidRDefault="00473A1C" w:rsidP="00C90EF2">
      <w:pPr>
        <w:spacing w:line="360" w:lineRule="auto"/>
        <w:jc w:val="both"/>
        <w:rPr>
          <w:bCs/>
          <w:lang w:val="es-ES"/>
        </w:rPr>
      </w:pPr>
      <w:r w:rsidRPr="000A2EB9">
        <w:rPr>
          <w:bCs/>
          <w:lang w:val="es-ES"/>
        </w:rPr>
        <w:t xml:space="preserve"> </w:t>
      </w:r>
      <w:r w:rsidRPr="000A2EB9">
        <w:rPr>
          <w:bCs/>
          <w:lang w:val="es-ES"/>
        </w:rPr>
        <w:tab/>
      </w:r>
      <w:r w:rsidR="00D83C31" w:rsidRPr="000A2EB9">
        <w:rPr>
          <w:bCs/>
          <w:lang w:val="es-ES"/>
        </w:rPr>
        <w:t>Sin embargo, en lo que hace al corazón del debate, es decir los alcances de la nulidad del despido discriminatorio y su idoneidad para permitir la orden de reinstalación de los trabajadores, el Máximo Tribunal argentino se expidió con la misma división que expresaba el fallo recurrido y, así, 4 jueces (</w:t>
      </w:r>
      <w:r w:rsidR="00D83C31" w:rsidRPr="000A2EB9">
        <w:rPr>
          <w:rStyle w:val="Refdenotaalpie"/>
          <w:bCs/>
          <w:lang w:val="es-ES"/>
        </w:rPr>
        <w:footnoteReference w:id="25"/>
      </w:r>
      <w:r w:rsidR="00D83C31" w:rsidRPr="000A2EB9">
        <w:rPr>
          <w:bCs/>
          <w:lang w:val="es-ES"/>
        </w:rPr>
        <w:t>) sostuvieron la tesis de que la nulidad decretada justifica la reinstalación, mientras 3 magistrados (</w:t>
      </w:r>
      <w:r w:rsidR="00D83C31" w:rsidRPr="000A2EB9">
        <w:rPr>
          <w:rStyle w:val="Refdenotaalpie"/>
          <w:bCs/>
          <w:lang w:val="es-ES"/>
        </w:rPr>
        <w:footnoteReference w:id="26"/>
      </w:r>
      <w:r w:rsidR="00D83C31" w:rsidRPr="000A2EB9">
        <w:rPr>
          <w:bCs/>
          <w:lang w:val="es-ES"/>
        </w:rPr>
        <w:t>) se atuvieron a la tesis restrictiva que niega ese alcance.</w:t>
      </w:r>
      <w:r w:rsidR="00C90EF2" w:rsidRPr="000A2EB9">
        <w:rPr>
          <w:bCs/>
          <w:lang w:val="es-ES"/>
        </w:rPr>
        <w:t xml:space="preserve"> </w:t>
      </w:r>
      <w:r w:rsidR="00D83C31" w:rsidRPr="000A2EB9">
        <w:rPr>
          <w:bCs/>
          <w:lang w:val="es-ES"/>
        </w:rPr>
        <w:t>Veamos.</w:t>
      </w:r>
    </w:p>
    <w:p w14:paraId="11F25661" w14:textId="35BAA523" w:rsidR="00882627" w:rsidRPr="000A2EB9" w:rsidRDefault="00DE22BD" w:rsidP="006C5F2C">
      <w:pPr>
        <w:spacing w:line="360" w:lineRule="auto"/>
        <w:jc w:val="both"/>
        <w:rPr>
          <w:bCs/>
          <w:lang w:val="es-ES"/>
        </w:rPr>
      </w:pPr>
      <w:r w:rsidRPr="000A2EB9">
        <w:rPr>
          <w:bCs/>
          <w:lang w:val="es-ES"/>
        </w:rPr>
        <w:tab/>
      </w:r>
      <w:r w:rsidR="006C5F2C" w:rsidRPr="000A2EB9">
        <w:rPr>
          <w:bCs/>
          <w:lang w:val="es-ES"/>
        </w:rPr>
        <w:t>El voto de la mayoría comienza dando respuesta al planteo recursivo que argumentaba la inaplicabilidad de la ley antidiscriminatoria 23.592, punto que, como adelanté, mereció respuesta unánime de la Corte, y declaró que la ley 23.592 ha tendido a conjurar un particular modo de menoscabo del pleno ejercicio de los derechos y garantías fundamentales reconocidos en la Constitución Nacional: el acto discriminatorio</w:t>
      </w:r>
      <w:r w:rsidR="00882627" w:rsidRPr="000A2EB9">
        <w:rPr>
          <w:bCs/>
          <w:lang w:val="es-ES"/>
        </w:rPr>
        <w:t>.</w:t>
      </w:r>
    </w:p>
    <w:p w14:paraId="71D3D82C" w14:textId="2E2F8CE6" w:rsidR="00882627" w:rsidRPr="000A2EB9" w:rsidRDefault="00882627" w:rsidP="00882627">
      <w:pPr>
        <w:spacing w:line="360" w:lineRule="auto"/>
        <w:jc w:val="both"/>
        <w:rPr>
          <w:bCs/>
          <w:lang w:val="es-ES"/>
        </w:rPr>
      </w:pPr>
      <w:r w:rsidRPr="000A2EB9">
        <w:rPr>
          <w:bCs/>
          <w:lang w:val="es-ES"/>
        </w:rPr>
        <w:tab/>
        <w:t xml:space="preserve">Tras citar el marco normativo internacional que da fundamento a la protección de la dignidad humana protegiéndola de todo comportamiento discriminatorio lesivo, la mayoría concluyó </w:t>
      </w:r>
      <w:r w:rsidR="00194E95" w:rsidRPr="000A2EB9">
        <w:rPr>
          <w:bCs/>
          <w:lang w:val="es-ES"/>
        </w:rPr>
        <w:t xml:space="preserve">tajantemente al decir </w:t>
      </w:r>
      <w:r w:rsidRPr="000A2EB9">
        <w:rPr>
          <w:bCs/>
          <w:lang w:val="es-ES"/>
        </w:rPr>
        <w:t xml:space="preserve">que </w:t>
      </w:r>
      <w:r w:rsidR="00194E95" w:rsidRPr="000A2EB9">
        <w:rPr>
          <w:bCs/>
          <w:lang w:val="es-ES"/>
        </w:rPr>
        <w:t>“</w:t>
      </w:r>
      <w:r w:rsidRPr="000A2EB9">
        <w:rPr>
          <w:bCs/>
          <w:i/>
          <w:iCs/>
          <w:lang w:val="es-ES"/>
        </w:rPr>
        <w:t>cabe descartar de plano la pretendida inaplicabilidad de la ley 23.592 al ámbito del derecho individual del trabajo</w:t>
      </w:r>
      <w:r w:rsidR="00194E95" w:rsidRPr="000A2EB9">
        <w:rPr>
          <w:bCs/>
          <w:lang w:val="es-ES"/>
        </w:rPr>
        <w:t>”</w:t>
      </w:r>
      <w:r w:rsidRPr="000A2EB9">
        <w:rPr>
          <w:bCs/>
          <w:lang w:val="es-ES"/>
        </w:rPr>
        <w:t>,</w:t>
      </w:r>
      <w:r w:rsidR="00194E95" w:rsidRPr="000A2EB9">
        <w:rPr>
          <w:bCs/>
          <w:lang w:val="es-ES"/>
        </w:rPr>
        <w:t xml:space="preserve"> y dio </w:t>
      </w:r>
      <w:r w:rsidRPr="000A2EB9">
        <w:rPr>
          <w:bCs/>
          <w:lang w:val="es-ES"/>
        </w:rPr>
        <w:t xml:space="preserve">tres razones. </w:t>
      </w:r>
    </w:p>
    <w:p w14:paraId="41698C12" w14:textId="3130A79F" w:rsidR="00882627" w:rsidRPr="000A2EB9" w:rsidRDefault="00882627" w:rsidP="00882627">
      <w:pPr>
        <w:spacing w:line="360" w:lineRule="auto"/>
        <w:ind w:firstLine="720"/>
        <w:jc w:val="both"/>
        <w:rPr>
          <w:bCs/>
          <w:lang w:val="es-ES"/>
        </w:rPr>
      </w:pPr>
      <w:r w:rsidRPr="000A2EB9">
        <w:rPr>
          <w:bCs/>
          <w:lang w:val="es-ES"/>
        </w:rPr>
        <w:t>Primeramente, dijo la mayoría, nada hay en el texto de ley ni en la finalidad que persigue que indique lo contrario; en segundo lugar, "</w:t>
      </w:r>
      <w:r w:rsidRPr="000A2EB9">
        <w:rPr>
          <w:bCs/>
          <w:i/>
          <w:iCs/>
          <w:lang w:val="es-ES"/>
        </w:rPr>
        <w:t>la proscripción de la discriminación no admite salvedades o ámbitos de tolerancia, que funcionarían como 'santuarios de infracciones': se reprueba en todos los casos</w:t>
      </w:r>
      <w:r w:rsidRPr="000A2EB9">
        <w:rPr>
          <w:bCs/>
          <w:lang w:val="es-ES"/>
        </w:rPr>
        <w:t>"; y en tercer término, la relación laboral posee una especificidad que la distingue de manera patente de muchos otros vínculos jurídicos, puesto que la prestación de uno de los celebrantes, el trabajador, está constituida nada menos que por la actividad humana, la cual resulta, per se , inseparable de la persona humana y, por lo tanto, de su dignidad.</w:t>
      </w:r>
    </w:p>
    <w:p w14:paraId="0FEFF857" w14:textId="4A094B50" w:rsidR="00DE22BD" w:rsidRPr="000A2EB9" w:rsidRDefault="00882627" w:rsidP="00882627">
      <w:pPr>
        <w:spacing w:line="360" w:lineRule="auto"/>
        <w:ind w:firstLine="720"/>
        <w:jc w:val="both"/>
        <w:rPr>
          <w:bCs/>
          <w:lang w:val="es-ES"/>
        </w:rPr>
      </w:pPr>
      <w:r w:rsidRPr="000A2EB9">
        <w:rPr>
          <w:bCs/>
          <w:lang w:val="es-ES"/>
        </w:rPr>
        <w:t xml:space="preserve">En tal sentido sostuvo la mayoría que el legislador decidió </w:t>
      </w:r>
      <w:r w:rsidR="006C5F2C" w:rsidRPr="000A2EB9">
        <w:rPr>
          <w:bCs/>
          <w:lang w:val="es-ES"/>
        </w:rPr>
        <w:t xml:space="preserve">imponer al autor </w:t>
      </w:r>
      <w:r w:rsidRPr="000A2EB9">
        <w:rPr>
          <w:bCs/>
          <w:lang w:val="es-ES"/>
        </w:rPr>
        <w:t xml:space="preserve"> del acto discriminatorio </w:t>
      </w:r>
      <w:r w:rsidR="006C5F2C" w:rsidRPr="000A2EB9">
        <w:rPr>
          <w:bCs/>
          <w:lang w:val="es-ES"/>
        </w:rPr>
        <w:t>la obligación de "</w:t>
      </w:r>
      <w:r w:rsidR="006C5F2C" w:rsidRPr="000A2EB9">
        <w:rPr>
          <w:bCs/>
          <w:i/>
          <w:iCs/>
          <w:lang w:val="es-ES"/>
        </w:rPr>
        <w:t>dejar sin efecto el acto discriminatorio o cesar en su realización y […] reparar el daño moral y material ocasionados</w:t>
      </w:r>
      <w:r w:rsidR="006C5F2C" w:rsidRPr="000A2EB9">
        <w:rPr>
          <w:bCs/>
          <w:lang w:val="es-ES"/>
        </w:rPr>
        <w:t xml:space="preserve">", </w:t>
      </w:r>
      <w:r w:rsidRPr="000A2EB9">
        <w:rPr>
          <w:bCs/>
          <w:lang w:val="es-ES"/>
        </w:rPr>
        <w:t xml:space="preserve">como </w:t>
      </w:r>
      <w:r w:rsidR="006C5F2C" w:rsidRPr="000A2EB9">
        <w:rPr>
          <w:bCs/>
          <w:lang w:val="es-ES"/>
        </w:rPr>
        <w:t xml:space="preserve">una reacción legal proporcionada a tamaña agresión </w:t>
      </w:r>
      <w:r w:rsidR="00473A1C" w:rsidRPr="000A2EB9">
        <w:rPr>
          <w:bCs/>
          <w:lang w:val="es-ES"/>
        </w:rPr>
        <w:t>y en tanto</w:t>
      </w:r>
      <w:r w:rsidRPr="000A2EB9">
        <w:rPr>
          <w:bCs/>
          <w:lang w:val="es-ES"/>
        </w:rPr>
        <w:t xml:space="preserve"> el </w:t>
      </w:r>
      <w:r w:rsidR="006C5F2C" w:rsidRPr="000A2EB9">
        <w:rPr>
          <w:bCs/>
          <w:lang w:val="es-ES"/>
        </w:rPr>
        <w:t xml:space="preserve">acto discriminatorio </w:t>
      </w:r>
      <w:r w:rsidR="006C5F2C" w:rsidRPr="000A2EB9">
        <w:rPr>
          <w:bCs/>
          <w:lang w:val="es-ES"/>
        </w:rPr>
        <w:lastRenderedPageBreak/>
        <w:t>ofende nada menos que el fundamento definitivo de los derechos humanos</w:t>
      </w:r>
      <w:r w:rsidRPr="000A2EB9">
        <w:rPr>
          <w:bCs/>
          <w:lang w:val="es-ES"/>
        </w:rPr>
        <w:t>, es decir</w:t>
      </w:r>
      <w:r w:rsidR="006C5F2C" w:rsidRPr="000A2EB9">
        <w:rPr>
          <w:bCs/>
          <w:lang w:val="es-ES"/>
        </w:rPr>
        <w:t xml:space="preserve"> la dignidad de la persona</w:t>
      </w:r>
      <w:r w:rsidRPr="000A2EB9">
        <w:rPr>
          <w:bCs/>
          <w:lang w:val="es-ES"/>
        </w:rPr>
        <w:t xml:space="preserve">. </w:t>
      </w:r>
    </w:p>
    <w:p w14:paraId="7A416093" w14:textId="13DDE996" w:rsidR="00DE22BD" w:rsidRPr="000A2EB9" w:rsidRDefault="001825EB" w:rsidP="001825EB">
      <w:pPr>
        <w:spacing w:line="360" w:lineRule="auto"/>
        <w:jc w:val="both"/>
        <w:rPr>
          <w:bCs/>
          <w:lang w:val="es-ES"/>
        </w:rPr>
      </w:pPr>
      <w:r w:rsidRPr="000A2EB9">
        <w:rPr>
          <w:bCs/>
          <w:lang w:val="es-ES"/>
        </w:rPr>
        <w:tab/>
        <w:t>De inmediato, la mayoría contest</w:t>
      </w:r>
      <w:r w:rsidR="00473A1C" w:rsidRPr="000A2EB9">
        <w:rPr>
          <w:bCs/>
          <w:lang w:val="es-ES"/>
        </w:rPr>
        <w:t>ó</w:t>
      </w:r>
      <w:r w:rsidRPr="000A2EB9">
        <w:rPr>
          <w:bCs/>
          <w:lang w:val="es-ES"/>
        </w:rPr>
        <w:t xml:space="preserve"> el argumento recursivo de la empresa demandada, que había sido expuesto en la Cámara por el voto disidente y que h</w:t>
      </w:r>
      <w:r w:rsidR="00473A1C" w:rsidRPr="000A2EB9">
        <w:rPr>
          <w:bCs/>
          <w:lang w:val="es-ES"/>
        </w:rPr>
        <w:t>iciera</w:t>
      </w:r>
      <w:r w:rsidRPr="000A2EB9">
        <w:rPr>
          <w:bCs/>
          <w:lang w:val="es-ES"/>
        </w:rPr>
        <w:t xml:space="preserve"> suyo el bloque minoritario de la Corte Suprema, es decir el </w:t>
      </w:r>
      <w:r w:rsidR="00473A1C" w:rsidRPr="000A2EB9">
        <w:rPr>
          <w:bCs/>
          <w:lang w:val="es-ES"/>
        </w:rPr>
        <w:t xml:space="preserve">argumento </w:t>
      </w:r>
      <w:r w:rsidRPr="000A2EB9">
        <w:rPr>
          <w:bCs/>
          <w:lang w:val="es-ES"/>
        </w:rPr>
        <w:t>de la invocada incompatibilidad entre la reinstalación del trabajador víctima de un distracto discriminatorio y el derecho a contratar y ejercer toda industria lícita del art. 14 de la Constitución Nacional, desechando que medie tal imposibilidad.</w:t>
      </w:r>
    </w:p>
    <w:p w14:paraId="79183F6B" w14:textId="1CB35A1F" w:rsidR="00102C41" w:rsidRPr="000A2EB9" w:rsidRDefault="001825EB" w:rsidP="00102C41">
      <w:pPr>
        <w:spacing w:line="360" w:lineRule="auto"/>
        <w:jc w:val="both"/>
        <w:rPr>
          <w:bCs/>
          <w:lang w:val="es-ES"/>
        </w:rPr>
      </w:pPr>
      <w:r w:rsidRPr="000A2EB9">
        <w:rPr>
          <w:bCs/>
          <w:lang w:val="es-ES"/>
        </w:rPr>
        <w:tab/>
      </w:r>
      <w:r w:rsidR="00102C41" w:rsidRPr="000A2EB9">
        <w:rPr>
          <w:bCs/>
          <w:lang w:val="es-ES"/>
        </w:rPr>
        <w:t>En primer lugar, la posición mayoritaria expone las razones por las que la doctrina del precedente “De Luca</w:t>
      </w:r>
      <w:r w:rsidR="002844D6" w:rsidRPr="000A2EB9">
        <w:rPr>
          <w:bCs/>
          <w:lang w:val="es-ES"/>
        </w:rPr>
        <w:t>”</w:t>
      </w:r>
      <w:r w:rsidR="00102C41" w:rsidRPr="000A2EB9">
        <w:rPr>
          <w:bCs/>
          <w:lang w:val="es-ES"/>
        </w:rPr>
        <w:t xml:space="preserve"> no es un obstáculo a la reinstalación nacida de la nulidad del despido discriminatorio (</w:t>
      </w:r>
      <w:r w:rsidR="00102C41" w:rsidRPr="000A2EB9">
        <w:rPr>
          <w:rStyle w:val="Refdenotaalpie"/>
          <w:bCs/>
          <w:lang w:val="es-ES"/>
        </w:rPr>
        <w:footnoteReference w:id="27"/>
      </w:r>
      <w:r w:rsidR="00102C41" w:rsidRPr="000A2EB9">
        <w:rPr>
          <w:bCs/>
          <w:lang w:val="es-ES"/>
        </w:rPr>
        <w:t>)</w:t>
      </w:r>
      <w:r w:rsidR="00A24AC5" w:rsidRPr="000A2EB9">
        <w:rPr>
          <w:bCs/>
          <w:lang w:val="es-ES"/>
        </w:rPr>
        <w:t>, afirmando, incluso, que “</w:t>
      </w:r>
      <w:r w:rsidR="00A24AC5" w:rsidRPr="000A2EB9">
        <w:rPr>
          <w:bCs/>
          <w:i/>
          <w:iCs/>
          <w:lang w:val="es-ES"/>
        </w:rPr>
        <w:t>sólo un entendimiento superficial del art. 14 bis llevaría a que la protección contra el despido arbitrario implicara una suerte de prohibición absoluta y permanente a toda medida de reinstalación</w:t>
      </w:r>
      <w:r w:rsidR="00A24AC5" w:rsidRPr="000A2EB9">
        <w:rPr>
          <w:bCs/>
          <w:lang w:val="es-ES"/>
        </w:rPr>
        <w:t>”.</w:t>
      </w:r>
    </w:p>
    <w:p w14:paraId="03007991" w14:textId="555FD729" w:rsidR="00102C41" w:rsidRPr="000A2EB9" w:rsidRDefault="002844D6" w:rsidP="002844D6">
      <w:pPr>
        <w:spacing w:line="360" w:lineRule="auto"/>
        <w:jc w:val="both"/>
        <w:rPr>
          <w:bCs/>
          <w:lang w:val="es-ES"/>
        </w:rPr>
      </w:pPr>
      <w:r w:rsidRPr="000A2EB9">
        <w:rPr>
          <w:bCs/>
          <w:lang w:val="es-ES"/>
        </w:rPr>
        <w:tab/>
        <w:t xml:space="preserve">Según este voto en aquel añejo caso se analizó una </w:t>
      </w:r>
      <w:r w:rsidR="00102C41" w:rsidRPr="000A2EB9">
        <w:rPr>
          <w:bCs/>
          <w:lang w:val="es-ES"/>
        </w:rPr>
        <w:t>cuestión distinta, como lo fue la relativa al art. 17 de la</w:t>
      </w:r>
      <w:r w:rsidRPr="000A2EB9">
        <w:rPr>
          <w:bCs/>
          <w:lang w:val="es-ES"/>
        </w:rPr>
        <w:t xml:space="preserve"> </w:t>
      </w:r>
      <w:r w:rsidR="00102C41" w:rsidRPr="000A2EB9">
        <w:rPr>
          <w:bCs/>
          <w:lang w:val="es-ES"/>
        </w:rPr>
        <w:t xml:space="preserve">Constitución Nacional </w:t>
      </w:r>
      <w:r w:rsidR="00473A1C" w:rsidRPr="000A2EB9">
        <w:rPr>
          <w:bCs/>
          <w:lang w:val="es-ES"/>
        </w:rPr>
        <w:t>(</w:t>
      </w:r>
      <w:r w:rsidR="00473A1C" w:rsidRPr="000A2EB9">
        <w:rPr>
          <w:rStyle w:val="Refdenotaalpie"/>
          <w:bCs/>
          <w:lang w:val="es-ES"/>
        </w:rPr>
        <w:footnoteReference w:id="28"/>
      </w:r>
      <w:r w:rsidR="00473A1C" w:rsidRPr="000A2EB9">
        <w:rPr>
          <w:bCs/>
          <w:lang w:val="es-ES"/>
        </w:rPr>
        <w:t xml:space="preserve">) </w:t>
      </w:r>
      <w:r w:rsidR="00102C41" w:rsidRPr="000A2EB9">
        <w:rPr>
          <w:bCs/>
          <w:lang w:val="es-ES"/>
        </w:rPr>
        <w:t xml:space="preserve">y el derecho de propiedad </w:t>
      </w:r>
      <w:r w:rsidRPr="000A2EB9">
        <w:rPr>
          <w:bCs/>
          <w:lang w:val="es-ES"/>
        </w:rPr>
        <w:t>ya que la norma allí juzgada imponía como sanción</w:t>
      </w:r>
      <w:r w:rsidR="00473A1C" w:rsidRPr="000A2EB9">
        <w:rPr>
          <w:bCs/>
          <w:lang w:val="es-ES"/>
        </w:rPr>
        <w:t>,</w:t>
      </w:r>
      <w:r w:rsidRPr="000A2EB9">
        <w:rPr>
          <w:bCs/>
          <w:lang w:val="es-ES"/>
        </w:rPr>
        <w:t xml:space="preserve"> ante la n</w:t>
      </w:r>
      <w:r w:rsidR="00473A1C" w:rsidRPr="000A2EB9">
        <w:rPr>
          <w:bCs/>
          <w:lang w:val="es-ES"/>
        </w:rPr>
        <w:t xml:space="preserve">egativa a la </w:t>
      </w:r>
      <w:r w:rsidRPr="000A2EB9">
        <w:rPr>
          <w:bCs/>
          <w:lang w:val="es-ES"/>
        </w:rPr>
        <w:t>reincorporación</w:t>
      </w:r>
      <w:r w:rsidR="00473A1C" w:rsidRPr="000A2EB9">
        <w:rPr>
          <w:bCs/>
          <w:lang w:val="es-ES"/>
        </w:rPr>
        <w:t>,</w:t>
      </w:r>
      <w:r w:rsidRPr="000A2EB9">
        <w:rPr>
          <w:bCs/>
          <w:lang w:val="es-ES"/>
        </w:rPr>
        <w:t xml:space="preserve"> el pago de los </w:t>
      </w:r>
      <w:r w:rsidR="00102C41" w:rsidRPr="000A2EB9">
        <w:rPr>
          <w:bCs/>
          <w:lang w:val="es-ES"/>
        </w:rPr>
        <w:t>salarios</w:t>
      </w:r>
      <w:r w:rsidR="00473A1C" w:rsidRPr="000A2EB9">
        <w:rPr>
          <w:bCs/>
          <w:lang w:val="es-ES"/>
        </w:rPr>
        <w:t xml:space="preserve"> </w:t>
      </w:r>
      <w:r w:rsidRPr="000A2EB9">
        <w:rPr>
          <w:bCs/>
          <w:lang w:val="es-ES"/>
        </w:rPr>
        <w:t xml:space="preserve">futuros hasta que el trabajador estuviere en condiciones de jubilarse. </w:t>
      </w:r>
    </w:p>
    <w:p w14:paraId="76B34FB1" w14:textId="5A59CFFE" w:rsidR="00102C41" w:rsidRPr="000A2EB9" w:rsidRDefault="002844D6" w:rsidP="002844D6">
      <w:pPr>
        <w:spacing w:line="360" w:lineRule="auto"/>
        <w:ind w:firstLine="720"/>
        <w:jc w:val="both"/>
        <w:rPr>
          <w:bCs/>
          <w:lang w:val="es-ES"/>
        </w:rPr>
      </w:pPr>
      <w:r w:rsidRPr="000A2EB9">
        <w:rPr>
          <w:bCs/>
          <w:lang w:val="es-ES"/>
        </w:rPr>
        <w:t xml:space="preserve">Los jueces que </w:t>
      </w:r>
      <w:r w:rsidR="00473A1C" w:rsidRPr="000A2EB9">
        <w:rPr>
          <w:bCs/>
          <w:lang w:val="es-ES"/>
        </w:rPr>
        <w:t>formaron</w:t>
      </w:r>
      <w:r w:rsidRPr="000A2EB9">
        <w:rPr>
          <w:bCs/>
          <w:lang w:val="es-ES"/>
        </w:rPr>
        <w:t xml:space="preserve"> la mayoría en “Álvarez” considera</w:t>
      </w:r>
      <w:r w:rsidR="00473A1C" w:rsidRPr="000A2EB9">
        <w:rPr>
          <w:bCs/>
          <w:lang w:val="es-ES"/>
        </w:rPr>
        <w:t>ro</w:t>
      </w:r>
      <w:r w:rsidRPr="000A2EB9">
        <w:rPr>
          <w:bCs/>
          <w:lang w:val="es-ES"/>
        </w:rPr>
        <w:t xml:space="preserve">n que en esta caso, a diferencia de lo acontecido en “De Luca”, no se está poniendo en discusión </w:t>
      </w:r>
      <w:r w:rsidR="00102C41" w:rsidRPr="000A2EB9">
        <w:rPr>
          <w:bCs/>
          <w:lang w:val="es-ES"/>
        </w:rPr>
        <w:t>un régimen general de</w:t>
      </w:r>
      <w:r w:rsidRPr="000A2EB9">
        <w:rPr>
          <w:bCs/>
          <w:lang w:val="es-ES"/>
        </w:rPr>
        <w:t xml:space="preserve"> </w:t>
      </w:r>
      <w:r w:rsidR="00102C41" w:rsidRPr="000A2EB9">
        <w:rPr>
          <w:bCs/>
          <w:lang w:val="es-ES"/>
        </w:rPr>
        <w:t>estabilidad propia o absoluta como protección contra todo</w:t>
      </w:r>
      <w:r w:rsidRPr="000A2EB9">
        <w:rPr>
          <w:bCs/>
          <w:lang w:val="es-ES"/>
        </w:rPr>
        <w:t xml:space="preserve"> </w:t>
      </w:r>
      <w:r w:rsidR="00102C41" w:rsidRPr="000A2EB9">
        <w:rPr>
          <w:bCs/>
          <w:lang w:val="es-ES"/>
        </w:rPr>
        <w:t>despido arbitrario, sino la reincorporación, para el litigo y</w:t>
      </w:r>
      <w:r w:rsidRPr="000A2EB9">
        <w:rPr>
          <w:bCs/>
          <w:lang w:val="es-ES"/>
        </w:rPr>
        <w:t xml:space="preserve"> </w:t>
      </w:r>
      <w:r w:rsidR="00102C41" w:rsidRPr="000A2EB9">
        <w:rPr>
          <w:bCs/>
          <w:lang w:val="es-ES"/>
        </w:rPr>
        <w:t>en el litigio, derivada del singular motivo de ruptura del</w:t>
      </w:r>
      <w:r w:rsidRPr="000A2EB9">
        <w:rPr>
          <w:bCs/>
          <w:lang w:val="es-ES"/>
        </w:rPr>
        <w:t xml:space="preserve"> </w:t>
      </w:r>
      <w:r w:rsidR="00102C41" w:rsidRPr="000A2EB9">
        <w:rPr>
          <w:bCs/>
          <w:lang w:val="es-ES"/>
        </w:rPr>
        <w:t>contrato de trabajo: la discriminación.</w:t>
      </w:r>
    </w:p>
    <w:p w14:paraId="001DA048" w14:textId="6F054E75" w:rsidR="00AA282A" w:rsidRPr="000A2EB9" w:rsidRDefault="002844D6" w:rsidP="00A24AC5">
      <w:pPr>
        <w:spacing w:line="360" w:lineRule="auto"/>
        <w:jc w:val="both"/>
        <w:rPr>
          <w:bCs/>
          <w:lang w:val="es-ES"/>
        </w:rPr>
      </w:pPr>
      <w:r w:rsidRPr="000A2EB9">
        <w:rPr>
          <w:bCs/>
          <w:lang w:val="es-ES"/>
        </w:rPr>
        <w:t xml:space="preserve"> </w:t>
      </w:r>
      <w:r w:rsidRPr="000A2EB9">
        <w:rPr>
          <w:bCs/>
          <w:lang w:val="es-ES"/>
        </w:rPr>
        <w:tab/>
      </w:r>
      <w:r w:rsidR="00102C41" w:rsidRPr="000A2EB9">
        <w:rPr>
          <w:bCs/>
          <w:lang w:val="es-ES"/>
        </w:rPr>
        <w:t>E</w:t>
      </w:r>
      <w:r w:rsidRPr="000A2EB9">
        <w:rPr>
          <w:bCs/>
          <w:lang w:val="es-ES"/>
        </w:rPr>
        <w:t xml:space="preserve">s muy </w:t>
      </w:r>
      <w:r w:rsidR="00473A1C" w:rsidRPr="000A2EB9">
        <w:rPr>
          <w:bCs/>
          <w:lang w:val="es-ES"/>
        </w:rPr>
        <w:t>dato relevante</w:t>
      </w:r>
      <w:r w:rsidRPr="000A2EB9">
        <w:rPr>
          <w:bCs/>
          <w:lang w:val="es-ES"/>
        </w:rPr>
        <w:t xml:space="preserve"> que la mayoría añad</w:t>
      </w:r>
      <w:r w:rsidR="00473A1C" w:rsidRPr="000A2EB9">
        <w:rPr>
          <w:bCs/>
          <w:lang w:val="es-ES"/>
        </w:rPr>
        <w:t>i</w:t>
      </w:r>
      <w:r w:rsidRPr="000A2EB9">
        <w:rPr>
          <w:bCs/>
          <w:lang w:val="es-ES"/>
        </w:rPr>
        <w:t>e</w:t>
      </w:r>
      <w:r w:rsidR="00473A1C" w:rsidRPr="000A2EB9">
        <w:rPr>
          <w:bCs/>
          <w:lang w:val="es-ES"/>
        </w:rPr>
        <w:t>ra</w:t>
      </w:r>
      <w:r w:rsidRPr="000A2EB9">
        <w:rPr>
          <w:bCs/>
          <w:lang w:val="es-ES"/>
        </w:rPr>
        <w:t xml:space="preserve"> que, por otra parte, </w:t>
      </w:r>
      <w:r w:rsidR="00102C41" w:rsidRPr="000A2EB9">
        <w:rPr>
          <w:bCs/>
          <w:lang w:val="es-ES"/>
        </w:rPr>
        <w:t>el marco</w:t>
      </w:r>
      <w:r w:rsidRPr="000A2EB9">
        <w:rPr>
          <w:bCs/>
          <w:lang w:val="es-ES"/>
        </w:rPr>
        <w:t xml:space="preserve"> </w:t>
      </w:r>
      <w:r w:rsidR="00102C41" w:rsidRPr="000A2EB9">
        <w:rPr>
          <w:bCs/>
          <w:lang w:val="es-ES"/>
        </w:rPr>
        <w:t xml:space="preserve">normativo constitucional, en la actualidad, difiere del vigente para la época </w:t>
      </w:r>
      <w:r w:rsidRPr="000A2EB9">
        <w:rPr>
          <w:bCs/>
          <w:lang w:val="es-ES"/>
        </w:rPr>
        <w:t>en que se dictó “</w:t>
      </w:r>
      <w:r w:rsidR="00102C41" w:rsidRPr="000A2EB9">
        <w:rPr>
          <w:bCs/>
          <w:lang w:val="es-ES"/>
        </w:rPr>
        <w:t>De Luca</w:t>
      </w:r>
      <w:r w:rsidRPr="000A2EB9">
        <w:rPr>
          <w:bCs/>
          <w:lang w:val="es-ES"/>
        </w:rPr>
        <w:t xml:space="preserve">”, ya que la </w:t>
      </w:r>
      <w:r w:rsidR="00102C41" w:rsidRPr="000A2EB9">
        <w:rPr>
          <w:bCs/>
          <w:lang w:val="es-ES"/>
        </w:rPr>
        <w:t xml:space="preserve">jerarquía constitucional que </w:t>
      </w:r>
      <w:r w:rsidRPr="000A2EB9">
        <w:rPr>
          <w:bCs/>
          <w:lang w:val="es-ES"/>
        </w:rPr>
        <w:t xml:space="preserve">actualmente </w:t>
      </w:r>
      <w:r w:rsidR="00102C41" w:rsidRPr="000A2EB9">
        <w:rPr>
          <w:bCs/>
          <w:lang w:val="es-ES"/>
        </w:rPr>
        <w:t>tienen los instrumentos internacionales</w:t>
      </w:r>
      <w:r w:rsidRPr="000A2EB9">
        <w:rPr>
          <w:bCs/>
          <w:lang w:val="es-ES"/>
        </w:rPr>
        <w:t xml:space="preserve"> (</w:t>
      </w:r>
      <w:r w:rsidRPr="000A2EB9">
        <w:rPr>
          <w:rStyle w:val="Refdenotaalpie"/>
          <w:bCs/>
          <w:lang w:val="es-ES"/>
        </w:rPr>
        <w:footnoteReference w:id="29"/>
      </w:r>
      <w:r w:rsidRPr="000A2EB9">
        <w:rPr>
          <w:bCs/>
          <w:lang w:val="es-ES"/>
        </w:rPr>
        <w:t xml:space="preserve">) lleva a una interpretación dinámica y actualizada de las </w:t>
      </w:r>
      <w:r w:rsidRPr="000A2EB9">
        <w:rPr>
          <w:bCs/>
          <w:lang w:val="es-ES"/>
        </w:rPr>
        <w:lastRenderedPageBreak/>
        <w:t>garantías constitucionales</w:t>
      </w:r>
      <w:r w:rsidR="00AA282A" w:rsidRPr="000A2EB9">
        <w:rPr>
          <w:bCs/>
          <w:lang w:val="es-ES"/>
        </w:rPr>
        <w:t xml:space="preserve"> y, tras esa aclaración, </w:t>
      </w:r>
      <w:r w:rsidR="00473A1C" w:rsidRPr="000A2EB9">
        <w:rPr>
          <w:bCs/>
          <w:lang w:val="es-ES"/>
        </w:rPr>
        <w:t>efectuó</w:t>
      </w:r>
      <w:r w:rsidR="00AA282A" w:rsidRPr="000A2EB9">
        <w:rPr>
          <w:bCs/>
          <w:lang w:val="es-ES"/>
        </w:rPr>
        <w:t xml:space="preserve"> una cuidadosa revista a los documentos aludidos en los que se legitiman soluciones legales como la discutida en la causa a resolución.</w:t>
      </w:r>
      <w:r w:rsidR="00A24AC5" w:rsidRPr="000A2EB9">
        <w:rPr>
          <w:bCs/>
          <w:lang w:val="es-ES"/>
        </w:rPr>
        <w:t xml:space="preserve"> Asimismo, señaló que las leyes no pueden ser interpretadas sólo históricamente, sin consideración a las nuevas condiciones y necesidades de la comunidad. </w:t>
      </w:r>
    </w:p>
    <w:p w14:paraId="5D6FBB16" w14:textId="5D5CB063" w:rsidR="001825EB" w:rsidRPr="000A2EB9" w:rsidRDefault="00A24AC5" w:rsidP="007D3E6E">
      <w:pPr>
        <w:spacing w:line="360" w:lineRule="auto"/>
        <w:jc w:val="both"/>
        <w:rPr>
          <w:bCs/>
          <w:lang w:val="es-ES"/>
        </w:rPr>
      </w:pPr>
      <w:r w:rsidRPr="000A2EB9">
        <w:rPr>
          <w:bCs/>
          <w:lang w:val="es-ES"/>
        </w:rPr>
        <w:tab/>
        <w:t>También abandon</w:t>
      </w:r>
      <w:r w:rsidR="0057689F" w:rsidRPr="000A2EB9">
        <w:rPr>
          <w:bCs/>
          <w:lang w:val="es-ES"/>
        </w:rPr>
        <w:t>ó</w:t>
      </w:r>
      <w:r w:rsidRPr="000A2EB9">
        <w:rPr>
          <w:bCs/>
          <w:lang w:val="es-ES"/>
        </w:rPr>
        <w:t xml:space="preserve"> el voto mayoritario lo que antaño fuera decidido en la causa “Figueroa” (</w:t>
      </w:r>
      <w:r w:rsidRPr="000A2EB9">
        <w:rPr>
          <w:rStyle w:val="Refdenotaalpie"/>
          <w:bCs/>
          <w:lang w:val="es-ES"/>
        </w:rPr>
        <w:footnoteReference w:id="30"/>
      </w:r>
      <w:r w:rsidRPr="000A2EB9">
        <w:rPr>
          <w:bCs/>
          <w:lang w:val="es-ES"/>
        </w:rPr>
        <w:t>)</w:t>
      </w:r>
      <w:r w:rsidR="007D3E6E" w:rsidRPr="000A2EB9">
        <w:rPr>
          <w:bCs/>
          <w:lang w:val="es-ES"/>
        </w:rPr>
        <w:t>, decisión en la que el Máximo Tribunal había considerado contrario al derecho de contratación, en su aspecto negativo, imponer la reinstalación. A tal fin la postura de la mayoría, en un</w:t>
      </w:r>
      <w:r w:rsidR="0057689F" w:rsidRPr="000A2EB9">
        <w:rPr>
          <w:bCs/>
          <w:lang w:val="es-ES"/>
        </w:rPr>
        <w:t>a</w:t>
      </w:r>
      <w:r w:rsidR="007D3E6E" w:rsidRPr="000A2EB9">
        <w:rPr>
          <w:bCs/>
          <w:lang w:val="es-ES"/>
        </w:rPr>
        <w:t xml:space="preserve"> clar</w:t>
      </w:r>
      <w:r w:rsidR="0057689F" w:rsidRPr="000A2EB9">
        <w:rPr>
          <w:bCs/>
          <w:lang w:val="es-ES"/>
        </w:rPr>
        <w:t>a</w:t>
      </w:r>
      <w:r w:rsidR="007D3E6E" w:rsidRPr="000A2EB9">
        <w:rPr>
          <w:bCs/>
          <w:lang w:val="es-ES"/>
        </w:rPr>
        <w:t xml:space="preserve"> y expres</w:t>
      </w:r>
      <w:r w:rsidR="0057689F" w:rsidRPr="000A2EB9">
        <w:rPr>
          <w:bCs/>
          <w:lang w:val="es-ES"/>
        </w:rPr>
        <w:t>a</w:t>
      </w:r>
      <w:r w:rsidR="007D3E6E" w:rsidRPr="000A2EB9">
        <w:rPr>
          <w:bCs/>
          <w:lang w:val="es-ES"/>
        </w:rPr>
        <w:t xml:space="preserve"> ab</w:t>
      </w:r>
      <w:r w:rsidR="0057689F" w:rsidRPr="000A2EB9">
        <w:rPr>
          <w:bCs/>
          <w:lang w:val="es-ES"/>
        </w:rPr>
        <w:t xml:space="preserve">dicación </w:t>
      </w:r>
      <w:r w:rsidR="007D3E6E" w:rsidRPr="000A2EB9">
        <w:rPr>
          <w:bCs/>
          <w:lang w:val="es-ES"/>
        </w:rPr>
        <w:t>de aquella doctrina, explic</w:t>
      </w:r>
      <w:r w:rsidR="0057689F" w:rsidRPr="000A2EB9">
        <w:rPr>
          <w:bCs/>
          <w:lang w:val="es-ES"/>
        </w:rPr>
        <w:t>ó</w:t>
      </w:r>
      <w:r w:rsidR="007D3E6E" w:rsidRPr="000A2EB9">
        <w:rPr>
          <w:bCs/>
          <w:lang w:val="es-ES"/>
        </w:rPr>
        <w:t xml:space="preserve"> que el contenido y alcances de las facultades y la discrecionalidad del ejercicio de dicho derecho constitucional “</w:t>
      </w:r>
      <w:r w:rsidR="007D3E6E" w:rsidRPr="000A2EB9">
        <w:rPr>
          <w:bCs/>
          <w:i/>
          <w:iCs/>
          <w:lang w:val="es-ES"/>
        </w:rPr>
        <w:t>en ninguna circunstancia y lugar podrían dejar de estar limitados por el inquebrantable respeto de la dignidad del trabajador y el ius cogens que informa al principio de igualdad y prohibición de discriminación, ya que ello implicaría desbaratar la natural jerarquía de los valores asentados por el bloque de constitucionalidad, máxime cuando la dignidad humana es el centro sobre el que gira la organización de los derechos fundamentales de nuestro orden constitucional y del orden internacional adoptado</w:t>
      </w:r>
      <w:r w:rsidR="0057689F" w:rsidRPr="000A2EB9">
        <w:rPr>
          <w:bCs/>
          <w:lang w:val="es-ES"/>
        </w:rPr>
        <w:t>”</w:t>
      </w:r>
      <w:r w:rsidR="007D3E6E" w:rsidRPr="000A2EB9">
        <w:rPr>
          <w:bCs/>
          <w:lang w:val="es-ES"/>
        </w:rPr>
        <w:t>.</w:t>
      </w:r>
    </w:p>
    <w:p w14:paraId="4048A98A" w14:textId="56C04C01" w:rsidR="00696C1C" w:rsidRPr="000A2EB9" w:rsidRDefault="007D3E6E" w:rsidP="00696C1C">
      <w:pPr>
        <w:spacing w:line="360" w:lineRule="auto"/>
        <w:jc w:val="both"/>
        <w:rPr>
          <w:bCs/>
          <w:lang w:val="es-ES"/>
        </w:rPr>
      </w:pPr>
      <w:r w:rsidRPr="000A2EB9">
        <w:rPr>
          <w:bCs/>
          <w:lang w:val="es-ES"/>
        </w:rPr>
        <w:tab/>
        <w:t>En un poderosa toma de posición, los jueces que formaron la mayoría declararon que no es admisible la confrontación entre el derecho a no ser discriminado con otros derechos y libertades constitucionales de sustancia predominantemente económica</w:t>
      </w:r>
      <w:r w:rsidR="00696C1C" w:rsidRPr="000A2EB9">
        <w:rPr>
          <w:bCs/>
          <w:lang w:val="es-ES"/>
        </w:rPr>
        <w:t xml:space="preserve"> puesto que el ser humano es eje y centro de todo el sistema jurídico y, en tanto fin en sí mismo, su dignidad intrínseca e igual es inviolable y constituye valor</w:t>
      </w:r>
    </w:p>
    <w:p w14:paraId="382431C7" w14:textId="2C51CDE8" w:rsidR="007D3E6E" w:rsidRPr="000A2EB9" w:rsidRDefault="00696C1C" w:rsidP="00696C1C">
      <w:pPr>
        <w:spacing w:line="360" w:lineRule="auto"/>
        <w:jc w:val="both"/>
        <w:rPr>
          <w:bCs/>
          <w:lang w:val="es-ES"/>
        </w:rPr>
      </w:pPr>
      <w:r w:rsidRPr="000A2EB9">
        <w:rPr>
          <w:bCs/>
          <w:lang w:val="es-ES"/>
        </w:rPr>
        <w:t>fundamental con respecto al cual los restantes valores tienen siempre carácter instrumental.</w:t>
      </w:r>
    </w:p>
    <w:p w14:paraId="4A831DFD" w14:textId="6071111A" w:rsidR="005D17D3" w:rsidRPr="000A2EB9" w:rsidRDefault="00696C1C" w:rsidP="005D17D3">
      <w:pPr>
        <w:spacing w:line="360" w:lineRule="auto"/>
        <w:jc w:val="both"/>
        <w:rPr>
          <w:bCs/>
          <w:lang w:val="es-ES"/>
        </w:rPr>
      </w:pPr>
      <w:r w:rsidRPr="000A2EB9">
        <w:rPr>
          <w:bCs/>
          <w:lang w:val="es-ES"/>
        </w:rPr>
        <w:tab/>
        <w:t>En suma, esta declaración de la mayoría dej</w:t>
      </w:r>
      <w:r w:rsidR="0057689F" w:rsidRPr="000A2EB9">
        <w:rPr>
          <w:bCs/>
          <w:lang w:val="es-ES"/>
        </w:rPr>
        <w:t>ó</w:t>
      </w:r>
      <w:r w:rsidRPr="000A2EB9">
        <w:rPr>
          <w:bCs/>
          <w:lang w:val="es-ES"/>
        </w:rPr>
        <w:t xml:space="preserve"> atrás el criterio que la Corte sostuvo durante muchos años a partir de “Figueroa” y afirm</w:t>
      </w:r>
      <w:r w:rsidR="0057689F" w:rsidRPr="000A2EB9">
        <w:rPr>
          <w:bCs/>
          <w:lang w:val="es-ES"/>
        </w:rPr>
        <w:t>ó</w:t>
      </w:r>
      <w:r w:rsidRPr="000A2EB9">
        <w:rPr>
          <w:bCs/>
          <w:lang w:val="es-ES"/>
        </w:rPr>
        <w:t xml:space="preserve"> que nada hay de objetable a la aplicación en esta causa de la ley 23.592, que reglamenta directamente un principio constitucional de la magnitud del art. 16 de la Constitución Nacional</w:t>
      </w:r>
      <w:r w:rsidR="005D17D3" w:rsidRPr="000A2EB9">
        <w:rPr>
          <w:bCs/>
          <w:lang w:val="es-ES"/>
        </w:rPr>
        <w:t>, recordando que, si bien la Constitución Nacional es individualista en el sentido de reconocer a la persona derechos anteriores al Estado, no lo es "en el sentido de que la</w:t>
      </w:r>
    </w:p>
    <w:p w14:paraId="38EE6BE6" w14:textId="64A3B14B" w:rsidR="001825EB" w:rsidRPr="000A2EB9" w:rsidRDefault="005D17D3" w:rsidP="005D17D3">
      <w:pPr>
        <w:spacing w:line="360" w:lineRule="auto"/>
        <w:jc w:val="both"/>
        <w:rPr>
          <w:bCs/>
          <w:lang w:val="es-ES"/>
        </w:rPr>
      </w:pPr>
      <w:r w:rsidRPr="000A2EB9">
        <w:rPr>
          <w:bCs/>
          <w:lang w:val="es-ES"/>
        </w:rPr>
        <w:lastRenderedPageBreak/>
        <w:t>voluntad individual y la libre contratación no puedan ser sometidas a las exigencias de las leyes reglamentarias", tal como rezan los arts. 14 y 17 de la Constitución, recordando que el trabajador es sujeto de tutela preferente.</w:t>
      </w:r>
    </w:p>
    <w:p w14:paraId="75CED63E" w14:textId="157B4212" w:rsidR="005D17D3" w:rsidRPr="000A2EB9" w:rsidRDefault="005D17D3" w:rsidP="007B7A98">
      <w:pPr>
        <w:spacing w:line="360" w:lineRule="auto"/>
        <w:jc w:val="both"/>
        <w:rPr>
          <w:bCs/>
          <w:lang w:val="es-ES"/>
        </w:rPr>
      </w:pPr>
      <w:r w:rsidRPr="000A2EB9">
        <w:rPr>
          <w:bCs/>
          <w:lang w:val="es-ES"/>
        </w:rPr>
        <w:tab/>
        <w:t>De ahí que la ponencia mayoritaria confirmó la decisión de la Cámara que ordenara la reinstalación en el empleo de los accionantes.</w:t>
      </w:r>
    </w:p>
    <w:p w14:paraId="43E81BD2" w14:textId="76D573F8" w:rsidR="007B7A98" w:rsidRPr="000A2EB9" w:rsidRDefault="00A40D03" w:rsidP="007B7A98">
      <w:pPr>
        <w:spacing w:line="360" w:lineRule="auto"/>
        <w:jc w:val="both"/>
        <w:rPr>
          <w:bCs/>
          <w:lang w:val="es-ES"/>
        </w:rPr>
      </w:pPr>
      <w:r w:rsidRPr="000A2EB9">
        <w:rPr>
          <w:bCs/>
          <w:lang w:val="es-ES"/>
        </w:rPr>
        <w:tab/>
      </w:r>
      <w:r w:rsidR="00AB36F6" w:rsidRPr="000A2EB9">
        <w:rPr>
          <w:bCs/>
          <w:lang w:val="es-ES"/>
        </w:rPr>
        <w:t xml:space="preserve">El voto de la minoría dejó claro que la norma general contenida en la ley 23.592 resulta aplicable en el ámbito de los contratos de trabajo, </w:t>
      </w:r>
      <w:r w:rsidR="0050627F" w:rsidRPr="000A2EB9">
        <w:rPr>
          <w:bCs/>
          <w:lang w:val="es-ES"/>
        </w:rPr>
        <w:t xml:space="preserve">afirmando que </w:t>
      </w:r>
      <w:r w:rsidR="007B7A98" w:rsidRPr="000A2EB9">
        <w:rPr>
          <w:bCs/>
          <w:lang w:val="es-ES"/>
        </w:rPr>
        <w:t xml:space="preserve">los inequívocos términos de la norma </w:t>
      </w:r>
      <w:r w:rsidR="0050627F" w:rsidRPr="000A2EB9">
        <w:rPr>
          <w:bCs/>
          <w:lang w:val="es-ES"/>
        </w:rPr>
        <w:t xml:space="preserve">en juego </w:t>
      </w:r>
      <w:r w:rsidR="007B7A98" w:rsidRPr="000A2EB9">
        <w:rPr>
          <w:bCs/>
          <w:lang w:val="es-ES"/>
        </w:rPr>
        <w:t>no permiten exceptuar el ámbito de las relaciones laborales de las previsiones de la ley citada</w:t>
      </w:r>
      <w:r w:rsidR="0050627F" w:rsidRPr="000A2EB9">
        <w:rPr>
          <w:bCs/>
          <w:lang w:val="es-ES"/>
        </w:rPr>
        <w:t xml:space="preserve"> al punto de aseverar que u</w:t>
      </w:r>
      <w:r w:rsidR="007B7A98" w:rsidRPr="000A2EB9">
        <w:rPr>
          <w:bCs/>
          <w:lang w:val="es-ES"/>
        </w:rPr>
        <w:t>na conclusión</w:t>
      </w:r>
      <w:r w:rsidR="0050627F" w:rsidRPr="000A2EB9">
        <w:rPr>
          <w:bCs/>
          <w:lang w:val="es-ES"/>
        </w:rPr>
        <w:t xml:space="preserve"> </w:t>
      </w:r>
      <w:r w:rsidR="007B7A98" w:rsidRPr="000A2EB9">
        <w:rPr>
          <w:bCs/>
          <w:lang w:val="es-ES"/>
        </w:rPr>
        <w:t>contraria implicaría desconocer la generalidad de su alcance y</w:t>
      </w:r>
      <w:r w:rsidR="0050627F" w:rsidRPr="000A2EB9">
        <w:rPr>
          <w:bCs/>
          <w:lang w:val="es-ES"/>
        </w:rPr>
        <w:t xml:space="preserve"> </w:t>
      </w:r>
      <w:r w:rsidR="007B7A98" w:rsidRPr="000A2EB9">
        <w:rPr>
          <w:bCs/>
          <w:lang w:val="es-ES"/>
        </w:rPr>
        <w:t>la finalidad perseguida por el legislador con su dictado.</w:t>
      </w:r>
    </w:p>
    <w:p w14:paraId="59B7725C" w14:textId="0772A179" w:rsidR="00D83C31" w:rsidRPr="000A2EB9" w:rsidRDefault="0050627F" w:rsidP="0050627F">
      <w:pPr>
        <w:spacing w:line="360" w:lineRule="auto"/>
        <w:ind w:firstLine="720"/>
        <w:jc w:val="both"/>
        <w:rPr>
          <w:bCs/>
          <w:lang w:val="es-ES"/>
        </w:rPr>
      </w:pPr>
      <w:r w:rsidRPr="000A2EB9">
        <w:rPr>
          <w:bCs/>
          <w:lang w:val="es-ES"/>
        </w:rPr>
        <w:t xml:space="preserve">Por ende, en este punto del debate abierto en la instancia extraordinaria la respuesta alcanzó </w:t>
      </w:r>
      <w:r w:rsidR="00AB36F6" w:rsidRPr="000A2EB9">
        <w:rPr>
          <w:bCs/>
          <w:lang w:val="es-ES"/>
        </w:rPr>
        <w:t>la unanimidad de los 7 jueces</w:t>
      </w:r>
      <w:r w:rsidRPr="000A2EB9">
        <w:rPr>
          <w:bCs/>
          <w:lang w:val="es-ES"/>
        </w:rPr>
        <w:t>, negando la posibilidad de seguirse argumentando la inaplicabilidad de la ley 23.592 al ámbito de los contratos de trabajo.</w:t>
      </w:r>
    </w:p>
    <w:p w14:paraId="239038BF" w14:textId="76F82338" w:rsidR="00AB36F6" w:rsidRPr="000A2EB9" w:rsidRDefault="00AB36F6" w:rsidP="00AB36F6">
      <w:pPr>
        <w:spacing w:line="360" w:lineRule="auto"/>
        <w:jc w:val="both"/>
        <w:rPr>
          <w:bCs/>
          <w:lang w:val="es-ES"/>
        </w:rPr>
      </w:pPr>
      <w:r w:rsidRPr="000A2EB9">
        <w:rPr>
          <w:bCs/>
          <w:lang w:val="es-ES"/>
        </w:rPr>
        <w:tab/>
        <w:t>La divergencia versa</w:t>
      </w:r>
      <w:r w:rsidR="0057689F" w:rsidRPr="000A2EB9">
        <w:rPr>
          <w:bCs/>
          <w:lang w:val="es-ES"/>
        </w:rPr>
        <w:t>ba</w:t>
      </w:r>
      <w:r w:rsidRPr="000A2EB9">
        <w:rPr>
          <w:bCs/>
          <w:lang w:val="es-ES"/>
        </w:rPr>
        <w:t>, como ya lo anticipé, sobre los alcances de la nulificación del despido discriminatorio (</w:t>
      </w:r>
      <w:r w:rsidRPr="000A2EB9">
        <w:rPr>
          <w:rStyle w:val="Refdenotaalpie"/>
          <w:bCs/>
          <w:lang w:val="es-ES"/>
        </w:rPr>
        <w:footnoteReference w:id="31"/>
      </w:r>
      <w:r w:rsidRPr="000A2EB9">
        <w:rPr>
          <w:bCs/>
          <w:lang w:val="es-ES"/>
        </w:rPr>
        <w:t>) y en tal sentido el voto minoritario comenzó</w:t>
      </w:r>
      <w:r w:rsidR="006762E9" w:rsidRPr="000A2EB9">
        <w:rPr>
          <w:bCs/>
          <w:lang w:val="es-ES"/>
        </w:rPr>
        <w:t xml:space="preserve"> recordando que </w:t>
      </w:r>
      <w:r w:rsidRPr="000A2EB9">
        <w:rPr>
          <w:bCs/>
          <w:lang w:val="es-ES"/>
        </w:rPr>
        <w:t>la forma en que el trabajo ha de realizarse y cómo</w:t>
      </w:r>
      <w:r w:rsidR="006762E9" w:rsidRPr="000A2EB9">
        <w:rPr>
          <w:bCs/>
          <w:lang w:val="es-ES"/>
        </w:rPr>
        <w:t xml:space="preserve"> </w:t>
      </w:r>
      <w:r w:rsidRPr="000A2EB9">
        <w:rPr>
          <w:bCs/>
          <w:lang w:val="es-ES"/>
        </w:rPr>
        <w:t>habrán de ser resueltos los conflictos que se susciten durante su prestación no están librados a la voluntad de las partes</w:t>
      </w:r>
      <w:r w:rsidR="006762E9" w:rsidRPr="000A2EB9">
        <w:rPr>
          <w:bCs/>
          <w:lang w:val="es-ES"/>
        </w:rPr>
        <w:t xml:space="preserve"> </w:t>
      </w:r>
      <w:r w:rsidRPr="000A2EB9">
        <w:rPr>
          <w:bCs/>
          <w:lang w:val="es-ES"/>
        </w:rPr>
        <w:t>sino a la reglamentación que dicte el poder público, en</w:t>
      </w:r>
      <w:r w:rsidR="006762E9" w:rsidRPr="000A2EB9">
        <w:rPr>
          <w:bCs/>
          <w:lang w:val="es-ES"/>
        </w:rPr>
        <w:t xml:space="preserve"> </w:t>
      </w:r>
      <w:r w:rsidRPr="000A2EB9">
        <w:rPr>
          <w:bCs/>
          <w:lang w:val="es-ES"/>
        </w:rPr>
        <w:t>cumplimiento de los deberes de justicia distributiva y del fin</w:t>
      </w:r>
      <w:r w:rsidR="006762E9" w:rsidRPr="000A2EB9">
        <w:rPr>
          <w:bCs/>
          <w:lang w:val="es-ES"/>
        </w:rPr>
        <w:t xml:space="preserve"> </w:t>
      </w:r>
      <w:r w:rsidRPr="000A2EB9">
        <w:rPr>
          <w:bCs/>
          <w:lang w:val="es-ES"/>
        </w:rPr>
        <w:t>inmediato de la autoridad, que es el establecimiento y</w:t>
      </w:r>
      <w:r w:rsidR="006762E9" w:rsidRPr="000A2EB9">
        <w:rPr>
          <w:bCs/>
          <w:lang w:val="es-ES"/>
        </w:rPr>
        <w:t xml:space="preserve"> </w:t>
      </w:r>
      <w:r w:rsidRPr="000A2EB9">
        <w:rPr>
          <w:bCs/>
          <w:lang w:val="es-ES"/>
        </w:rPr>
        <w:t>resguardo del orden público y de la paz social.</w:t>
      </w:r>
    </w:p>
    <w:p w14:paraId="02993173" w14:textId="2AB20652" w:rsidR="00AB36F6" w:rsidRPr="000A2EB9" w:rsidRDefault="006762E9" w:rsidP="00AB36F6">
      <w:pPr>
        <w:spacing w:line="360" w:lineRule="auto"/>
        <w:jc w:val="both"/>
        <w:rPr>
          <w:bCs/>
          <w:lang w:val="es-ES"/>
        </w:rPr>
      </w:pPr>
      <w:r w:rsidRPr="000A2EB9">
        <w:rPr>
          <w:bCs/>
          <w:lang w:val="es-ES"/>
        </w:rPr>
        <w:tab/>
      </w:r>
      <w:r w:rsidR="00AB36F6" w:rsidRPr="000A2EB9">
        <w:rPr>
          <w:bCs/>
          <w:lang w:val="es-ES"/>
        </w:rPr>
        <w:t>Sin embargo,</w:t>
      </w:r>
      <w:r w:rsidRPr="000A2EB9">
        <w:rPr>
          <w:bCs/>
          <w:lang w:val="es-ES"/>
        </w:rPr>
        <w:t xml:space="preserve"> se dijo en dicho voto, tal </w:t>
      </w:r>
      <w:r w:rsidR="00AB36F6" w:rsidRPr="000A2EB9">
        <w:rPr>
          <w:bCs/>
          <w:lang w:val="es-ES"/>
        </w:rPr>
        <w:t>reglamentación no alcanza, salvo</w:t>
      </w:r>
      <w:r w:rsidRPr="000A2EB9">
        <w:rPr>
          <w:bCs/>
          <w:lang w:val="es-ES"/>
        </w:rPr>
        <w:t xml:space="preserve"> </w:t>
      </w:r>
      <w:r w:rsidR="00AB36F6" w:rsidRPr="000A2EB9">
        <w:rPr>
          <w:bCs/>
          <w:lang w:val="es-ES"/>
        </w:rPr>
        <w:t>en casos excepcionales, a la facultad de contratar o de no</w:t>
      </w:r>
      <w:r w:rsidRPr="000A2EB9">
        <w:rPr>
          <w:bCs/>
          <w:lang w:val="es-ES"/>
        </w:rPr>
        <w:t xml:space="preserve"> </w:t>
      </w:r>
      <w:r w:rsidR="00AB36F6" w:rsidRPr="000A2EB9">
        <w:rPr>
          <w:bCs/>
          <w:lang w:val="es-ES"/>
        </w:rPr>
        <w:t>hacerlo y, en su caso, de elegir con quien</w:t>
      </w:r>
      <w:r w:rsidRPr="000A2EB9">
        <w:rPr>
          <w:bCs/>
          <w:lang w:val="es-ES"/>
        </w:rPr>
        <w:t xml:space="preserve">, ya que </w:t>
      </w:r>
      <w:r w:rsidR="00AB36F6" w:rsidRPr="000A2EB9">
        <w:rPr>
          <w:bCs/>
          <w:lang w:val="es-ES"/>
        </w:rPr>
        <w:t>la</w:t>
      </w:r>
      <w:r w:rsidRPr="000A2EB9">
        <w:rPr>
          <w:bCs/>
          <w:lang w:val="es-ES"/>
        </w:rPr>
        <w:t xml:space="preserve"> </w:t>
      </w:r>
      <w:r w:rsidR="00AB36F6" w:rsidRPr="000A2EB9">
        <w:rPr>
          <w:bCs/>
          <w:lang w:val="es-ES"/>
        </w:rPr>
        <w:t>garantía constitucional a la libertad de contratar incluye su</w:t>
      </w:r>
      <w:r w:rsidRPr="000A2EB9">
        <w:rPr>
          <w:bCs/>
          <w:lang w:val="es-ES"/>
        </w:rPr>
        <w:t xml:space="preserve"> </w:t>
      </w:r>
      <w:r w:rsidR="00AB36F6" w:rsidRPr="000A2EB9">
        <w:rPr>
          <w:bCs/>
          <w:lang w:val="es-ES"/>
        </w:rPr>
        <w:t>aspecto negativo, es decir, la libertad de no contratar que es</w:t>
      </w:r>
      <w:r w:rsidRPr="000A2EB9">
        <w:rPr>
          <w:bCs/>
          <w:lang w:val="es-ES"/>
        </w:rPr>
        <w:t xml:space="preserve"> </w:t>
      </w:r>
      <w:r w:rsidR="00AB36F6" w:rsidRPr="000A2EB9">
        <w:rPr>
          <w:bCs/>
          <w:lang w:val="es-ES"/>
        </w:rPr>
        <w:t>un aspecto de la autonomía personal a la que todo ciudadano</w:t>
      </w:r>
      <w:r w:rsidRPr="000A2EB9">
        <w:rPr>
          <w:bCs/>
          <w:lang w:val="es-ES"/>
        </w:rPr>
        <w:t xml:space="preserve"> </w:t>
      </w:r>
      <w:r w:rsidR="00AB36F6" w:rsidRPr="000A2EB9">
        <w:rPr>
          <w:bCs/>
          <w:lang w:val="es-ES"/>
        </w:rPr>
        <w:t xml:space="preserve">tiene derecho </w:t>
      </w:r>
      <w:r w:rsidRPr="000A2EB9">
        <w:rPr>
          <w:bCs/>
          <w:lang w:val="es-ES"/>
        </w:rPr>
        <w:t xml:space="preserve">de acuerdo al </w:t>
      </w:r>
      <w:r w:rsidR="00AB36F6" w:rsidRPr="000A2EB9">
        <w:rPr>
          <w:bCs/>
          <w:lang w:val="es-ES"/>
        </w:rPr>
        <w:t>art. 19 de la Constitución Nacional</w:t>
      </w:r>
      <w:r w:rsidRPr="000A2EB9">
        <w:rPr>
          <w:bCs/>
          <w:lang w:val="es-ES"/>
        </w:rPr>
        <w:t xml:space="preserve"> (</w:t>
      </w:r>
      <w:r w:rsidRPr="000A2EB9">
        <w:rPr>
          <w:rStyle w:val="Refdenotaalpie"/>
          <w:bCs/>
          <w:lang w:val="es-ES"/>
        </w:rPr>
        <w:footnoteReference w:id="32"/>
      </w:r>
      <w:r w:rsidRPr="000A2EB9">
        <w:rPr>
          <w:bCs/>
          <w:lang w:val="es-ES"/>
        </w:rPr>
        <w:t>)</w:t>
      </w:r>
      <w:r w:rsidR="00AB36F6" w:rsidRPr="000A2EB9">
        <w:rPr>
          <w:bCs/>
          <w:lang w:val="es-ES"/>
        </w:rPr>
        <w:t>.</w:t>
      </w:r>
    </w:p>
    <w:p w14:paraId="7D47801C" w14:textId="30A93EC9" w:rsidR="006762E9" w:rsidRPr="000A2EB9" w:rsidRDefault="006762E9" w:rsidP="006762E9">
      <w:pPr>
        <w:spacing w:line="360" w:lineRule="auto"/>
        <w:jc w:val="both"/>
        <w:rPr>
          <w:bCs/>
          <w:lang w:val="es-ES"/>
        </w:rPr>
      </w:pPr>
      <w:r w:rsidRPr="000A2EB9">
        <w:rPr>
          <w:bCs/>
          <w:lang w:val="es-ES"/>
        </w:rPr>
        <w:tab/>
        <w:t xml:space="preserve">Recordó la minoría de la Corte Suprema la línea seguida por ese Tribunal en el pasado -antes de la ley 23.592, permítaseme dejar sentado- en cuanto a que no se puede </w:t>
      </w:r>
      <w:r w:rsidR="00AB36F6" w:rsidRPr="000A2EB9">
        <w:rPr>
          <w:bCs/>
          <w:lang w:val="es-ES"/>
        </w:rPr>
        <w:t>obligar a un empleador</w:t>
      </w:r>
      <w:r w:rsidRPr="000A2EB9">
        <w:rPr>
          <w:bCs/>
          <w:lang w:val="es-ES"/>
        </w:rPr>
        <w:t xml:space="preserve">, </w:t>
      </w:r>
      <w:r w:rsidR="0050627F" w:rsidRPr="000A2EB9">
        <w:rPr>
          <w:bCs/>
          <w:lang w:val="es-ES"/>
        </w:rPr>
        <w:t>c</w:t>
      </w:r>
      <w:r w:rsidR="00AB36F6" w:rsidRPr="000A2EB9">
        <w:rPr>
          <w:bCs/>
          <w:lang w:val="es-ES"/>
        </w:rPr>
        <w:t>ontra su voluntad</w:t>
      </w:r>
      <w:r w:rsidRPr="000A2EB9">
        <w:rPr>
          <w:bCs/>
          <w:lang w:val="es-ES"/>
        </w:rPr>
        <w:t xml:space="preserve">, </w:t>
      </w:r>
      <w:r w:rsidR="00AB36F6" w:rsidRPr="000A2EB9">
        <w:rPr>
          <w:bCs/>
          <w:lang w:val="es-ES"/>
        </w:rPr>
        <w:t>a</w:t>
      </w:r>
      <w:r w:rsidRPr="000A2EB9">
        <w:rPr>
          <w:bCs/>
          <w:lang w:val="es-ES"/>
        </w:rPr>
        <w:t xml:space="preserve"> </w:t>
      </w:r>
      <w:r w:rsidR="00AB36F6" w:rsidRPr="000A2EB9">
        <w:rPr>
          <w:bCs/>
          <w:lang w:val="es-ES"/>
        </w:rPr>
        <w:t>seguir manteniendo en su puesto a empleados que no gozan de la</w:t>
      </w:r>
      <w:r w:rsidRPr="000A2EB9">
        <w:rPr>
          <w:bCs/>
          <w:lang w:val="es-ES"/>
        </w:rPr>
        <w:t xml:space="preserve"> </w:t>
      </w:r>
      <w:r w:rsidR="00AB36F6" w:rsidRPr="000A2EB9">
        <w:rPr>
          <w:bCs/>
          <w:lang w:val="es-ES"/>
        </w:rPr>
        <w:t>confianza que debe presidir toda relación de dependencia</w:t>
      </w:r>
      <w:r w:rsidRPr="000A2EB9">
        <w:rPr>
          <w:bCs/>
          <w:lang w:val="es-ES"/>
        </w:rPr>
        <w:t>.</w:t>
      </w:r>
    </w:p>
    <w:p w14:paraId="1B9E6126" w14:textId="77777777" w:rsidR="00A70307" w:rsidRPr="000A2EB9" w:rsidRDefault="006762E9" w:rsidP="0050627F">
      <w:pPr>
        <w:spacing w:line="360" w:lineRule="auto"/>
        <w:jc w:val="both"/>
        <w:rPr>
          <w:bCs/>
          <w:lang w:val="es-ES"/>
        </w:rPr>
      </w:pPr>
      <w:r w:rsidRPr="000A2EB9">
        <w:rPr>
          <w:bCs/>
          <w:lang w:val="es-ES"/>
        </w:rPr>
        <w:t xml:space="preserve"> </w:t>
      </w:r>
      <w:r w:rsidR="0050627F" w:rsidRPr="000A2EB9">
        <w:rPr>
          <w:bCs/>
          <w:lang w:val="es-ES"/>
        </w:rPr>
        <w:tab/>
        <w:t xml:space="preserve">Sobre la base de esa idea fuerza principal de que no se puede exigir a un empleador que mantenga el contrato contra su voluntad, el voto de la minoría señaló que debe examinarse el balance entre el derecho del trabajador a no ser despedido por motivos discriminatorios y la libertad de contratar del empleador, dentro de la cual se </w:t>
      </w:r>
      <w:r w:rsidR="0050627F" w:rsidRPr="000A2EB9">
        <w:rPr>
          <w:bCs/>
          <w:lang w:val="es-ES"/>
        </w:rPr>
        <w:lastRenderedPageBreak/>
        <w:t xml:space="preserve">encuentra la facultad de dar por terminado el vínculo contractual afrontando, en la medida establecida por la ley, los costos que ello genera al trabajador. </w:t>
      </w:r>
    </w:p>
    <w:p w14:paraId="6D50D9CD" w14:textId="2074B695" w:rsidR="0050627F" w:rsidRPr="000A2EB9" w:rsidRDefault="0050627F" w:rsidP="00A70307">
      <w:pPr>
        <w:spacing w:line="360" w:lineRule="auto"/>
        <w:ind w:firstLine="720"/>
        <w:jc w:val="both"/>
        <w:rPr>
          <w:bCs/>
          <w:lang w:val="es-ES"/>
        </w:rPr>
      </w:pPr>
      <w:r w:rsidRPr="000A2EB9">
        <w:rPr>
          <w:bCs/>
          <w:lang w:val="es-ES"/>
        </w:rPr>
        <w:t>Y en ese camino los jueces que hicieron minoría apuntaron que la legislación específica, es decir la legislación laboral, contiene soluciones para el supuesto de despidos discriminatorios que implican una protección más intensa para el trabajador que la otorgada para el supuesto general de despido sin justa causa, pero que no llega a suprimir por completo la posibilidad de que el empleador ponga fin a la relación laboral</w:t>
      </w:r>
      <w:r w:rsidR="00A70307" w:rsidRPr="000A2EB9">
        <w:rPr>
          <w:bCs/>
          <w:lang w:val="es-ES"/>
        </w:rPr>
        <w:t xml:space="preserve">, en alusión a la regulación de la Ley de Contrato de Trabajo para el </w:t>
      </w:r>
      <w:r w:rsidRPr="000A2EB9">
        <w:rPr>
          <w:bCs/>
          <w:lang w:val="es-ES"/>
        </w:rPr>
        <w:t xml:space="preserve">despido motivado en el matrimonio </w:t>
      </w:r>
      <w:r w:rsidR="00A70307" w:rsidRPr="000A2EB9">
        <w:rPr>
          <w:bCs/>
          <w:lang w:val="es-ES"/>
        </w:rPr>
        <w:t xml:space="preserve">o </w:t>
      </w:r>
      <w:r w:rsidRPr="000A2EB9">
        <w:rPr>
          <w:bCs/>
          <w:lang w:val="es-ES"/>
        </w:rPr>
        <w:t>en el embarazo de la trabajadora, mientras que, en otras situaciones</w:t>
      </w:r>
      <w:r w:rsidR="00A70307" w:rsidRPr="000A2EB9">
        <w:rPr>
          <w:bCs/>
          <w:lang w:val="es-ES"/>
        </w:rPr>
        <w:t xml:space="preserve">, </w:t>
      </w:r>
      <w:r w:rsidRPr="000A2EB9">
        <w:rPr>
          <w:bCs/>
          <w:lang w:val="es-ES"/>
        </w:rPr>
        <w:t>cuando el legislador ha sancionado despidos discriminatorios con la reinstalación del trabajador lo ha dispuesto de</w:t>
      </w:r>
      <w:r w:rsidR="00A70307" w:rsidRPr="000A2EB9">
        <w:rPr>
          <w:bCs/>
          <w:lang w:val="es-ES"/>
        </w:rPr>
        <w:t xml:space="preserve"> </w:t>
      </w:r>
      <w:r w:rsidRPr="000A2EB9">
        <w:rPr>
          <w:bCs/>
          <w:lang w:val="es-ES"/>
        </w:rPr>
        <w:t>manera expresa y siempre que el despido sin causa tenga lugar dentro de un plazo cuyo inicio y culminación se encuentra</w:t>
      </w:r>
      <w:r w:rsidR="00A70307" w:rsidRPr="000A2EB9">
        <w:rPr>
          <w:bCs/>
          <w:lang w:val="es-ES"/>
        </w:rPr>
        <w:t xml:space="preserve"> </w:t>
      </w:r>
      <w:r w:rsidRPr="000A2EB9">
        <w:rPr>
          <w:bCs/>
          <w:lang w:val="es-ES"/>
        </w:rPr>
        <w:t>determinado por la ley respectiva</w:t>
      </w:r>
      <w:r w:rsidR="00A70307" w:rsidRPr="000A2EB9">
        <w:rPr>
          <w:bCs/>
          <w:lang w:val="es-ES"/>
        </w:rPr>
        <w:t>, como acontece en el marco de la ley 23.551 en materia de tutela sindical.</w:t>
      </w:r>
    </w:p>
    <w:p w14:paraId="6D7C60F6" w14:textId="788BD734" w:rsidR="0050627F" w:rsidRPr="000A2EB9" w:rsidRDefault="00A70307" w:rsidP="0050627F">
      <w:pPr>
        <w:spacing w:line="360" w:lineRule="auto"/>
        <w:jc w:val="both"/>
        <w:rPr>
          <w:bCs/>
          <w:lang w:val="es-ES"/>
        </w:rPr>
      </w:pPr>
      <w:r w:rsidRPr="000A2EB9">
        <w:rPr>
          <w:bCs/>
          <w:lang w:val="es-ES"/>
        </w:rPr>
        <w:t xml:space="preserve"> </w:t>
      </w:r>
      <w:r w:rsidRPr="000A2EB9">
        <w:rPr>
          <w:bCs/>
          <w:lang w:val="es-ES"/>
        </w:rPr>
        <w:tab/>
        <w:t xml:space="preserve">Para los jueces de la minoría </w:t>
      </w:r>
      <w:r w:rsidR="0050627F" w:rsidRPr="000A2EB9">
        <w:rPr>
          <w:bCs/>
          <w:lang w:val="es-ES"/>
        </w:rPr>
        <w:t xml:space="preserve">esto </w:t>
      </w:r>
      <w:r w:rsidRPr="000A2EB9">
        <w:rPr>
          <w:bCs/>
          <w:lang w:val="es-ES"/>
        </w:rPr>
        <w:t xml:space="preserve">no </w:t>
      </w:r>
      <w:r w:rsidR="0050627F" w:rsidRPr="000A2EB9">
        <w:rPr>
          <w:bCs/>
          <w:lang w:val="es-ES"/>
        </w:rPr>
        <w:t>sucede</w:t>
      </w:r>
      <w:r w:rsidRPr="000A2EB9">
        <w:rPr>
          <w:bCs/>
          <w:lang w:val="es-ES"/>
        </w:rPr>
        <w:t xml:space="preserve"> </w:t>
      </w:r>
      <w:r w:rsidR="0050627F" w:rsidRPr="000A2EB9">
        <w:rPr>
          <w:bCs/>
          <w:lang w:val="es-ES"/>
        </w:rPr>
        <w:t>con la ley 23.592</w:t>
      </w:r>
      <w:r w:rsidRPr="000A2EB9">
        <w:rPr>
          <w:bCs/>
          <w:lang w:val="es-ES"/>
        </w:rPr>
        <w:t xml:space="preserve"> </w:t>
      </w:r>
      <w:r w:rsidR="0050627F" w:rsidRPr="000A2EB9">
        <w:rPr>
          <w:bCs/>
          <w:lang w:val="es-ES"/>
        </w:rPr>
        <w:t>que, en razón de su carácter general y transversal a todas las</w:t>
      </w:r>
      <w:r w:rsidRPr="000A2EB9">
        <w:rPr>
          <w:bCs/>
          <w:lang w:val="es-ES"/>
        </w:rPr>
        <w:t xml:space="preserve"> </w:t>
      </w:r>
      <w:r w:rsidR="0050627F" w:rsidRPr="000A2EB9">
        <w:rPr>
          <w:bCs/>
          <w:lang w:val="es-ES"/>
        </w:rPr>
        <w:t>ramas del derecho, requiere de una aplicación apropiada que no</w:t>
      </w:r>
      <w:r w:rsidRPr="000A2EB9">
        <w:rPr>
          <w:bCs/>
          <w:lang w:val="es-ES"/>
        </w:rPr>
        <w:t xml:space="preserve"> </w:t>
      </w:r>
      <w:r w:rsidR="0050627F" w:rsidRPr="000A2EB9">
        <w:rPr>
          <w:bCs/>
          <w:lang w:val="es-ES"/>
        </w:rPr>
        <w:t>distorsione el equilibrio de derechos al que responde cada</w:t>
      </w:r>
      <w:r w:rsidRPr="000A2EB9">
        <w:rPr>
          <w:bCs/>
          <w:lang w:val="es-ES"/>
        </w:rPr>
        <w:t xml:space="preserve"> </w:t>
      </w:r>
      <w:r w:rsidR="0050627F" w:rsidRPr="000A2EB9">
        <w:rPr>
          <w:bCs/>
          <w:lang w:val="es-ES"/>
        </w:rPr>
        <w:t>sector del ordenamiento jurídico, sea público o privado</w:t>
      </w:r>
      <w:r w:rsidRPr="000A2EB9">
        <w:rPr>
          <w:bCs/>
          <w:lang w:val="es-ES"/>
        </w:rPr>
        <w:t>, de lo que concluye</w:t>
      </w:r>
      <w:r w:rsidR="0057689F" w:rsidRPr="000A2EB9">
        <w:rPr>
          <w:bCs/>
          <w:lang w:val="es-ES"/>
        </w:rPr>
        <w:t>ro</w:t>
      </w:r>
      <w:r w:rsidRPr="000A2EB9">
        <w:rPr>
          <w:bCs/>
          <w:lang w:val="es-ES"/>
        </w:rPr>
        <w:t xml:space="preserve">n que </w:t>
      </w:r>
      <w:r w:rsidR="0050627F" w:rsidRPr="000A2EB9">
        <w:rPr>
          <w:bCs/>
          <w:lang w:val="es-ES"/>
        </w:rPr>
        <w:t>las consecuencias jurídicas que debe tener la</w:t>
      </w:r>
      <w:r w:rsidRPr="000A2EB9">
        <w:rPr>
          <w:bCs/>
          <w:lang w:val="es-ES"/>
        </w:rPr>
        <w:t xml:space="preserve"> </w:t>
      </w:r>
      <w:r w:rsidR="0050627F" w:rsidRPr="000A2EB9">
        <w:rPr>
          <w:bCs/>
          <w:lang w:val="es-ES"/>
        </w:rPr>
        <w:t>comprobación de un acto discriminatorio han de ser definidas</w:t>
      </w:r>
      <w:r w:rsidRPr="000A2EB9">
        <w:rPr>
          <w:bCs/>
          <w:lang w:val="es-ES"/>
        </w:rPr>
        <w:t xml:space="preserve"> </w:t>
      </w:r>
      <w:r w:rsidR="0050627F" w:rsidRPr="000A2EB9">
        <w:rPr>
          <w:bCs/>
          <w:lang w:val="es-ES"/>
        </w:rPr>
        <w:t xml:space="preserve">en consideración del contexto que ofrece la relación de trabajo privada y el principio de estabilidad impropia que </w:t>
      </w:r>
      <w:r w:rsidRPr="000A2EB9">
        <w:rPr>
          <w:bCs/>
          <w:lang w:val="es-ES"/>
        </w:rPr>
        <w:t xml:space="preserve">es el adoptado por </w:t>
      </w:r>
      <w:r w:rsidR="0050627F" w:rsidRPr="000A2EB9">
        <w:rPr>
          <w:bCs/>
          <w:lang w:val="es-ES"/>
        </w:rPr>
        <w:t>el derecho laboral argentino</w:t>
      </w:r>
      <w:r w:rsidRPr="000A2EB9">
        <w:rPr>
          <w:bCs/>
          <w:lang w:val="es-ES"/>
        </w:rPr>
        <w:t>.</w:t>
      </w:r>
    </w:p>
    <w:p w14:paraId="3C1FDE0F" w14:textId="27CBE56C" w:rsidR="00D83C31" w:rsidRPr="000A2EB9" w:rsidRDefault="00A70307" w:rsidP="00C20456">
      <w:pPr>
        <w:spacing w:line="360" w:lineRule="auto"/>
        <w:jc w:val="both"/>
        <w:rPr>
          <w:bCs/>
          <w:lang w:val="es-ES"/>
        </w:rPr>
      </w:pPr>
      <w:r w:rsidRPr="000A2EB9">
        <w:rPr>
          <w:bCs/>
          <w:lang w:val="es-ES"/>
        </w:rPr>
        <w:t xml:space="preserve"> </w:t>
      </w:r>
      <w:r w:rsidRPr="000A2EB9">
        <w:rPr>
          <w:bCs/>
          <w:lang w:val="es-ES"/>
        </w:rPr>
        <w:tab/>
        <w:t>En suma, a juicio de este voto minoritario, aunque la ley 23.592 autorice a dejar sin efecto el acto discriminatorio, esa norma general, al aplicarse en el empleo privado</w:t>
      </w:r>
      <w:r w:rsidR="0057689F" w:rsidRPr="000A2EB9">
        <w:rPr>
          <w:bCs/>
          <w:lang w:val="es-ES"/>
        </w:rPr>
        <w:t>,</w:t>
      </w:r>
      <w:r w:rsidRPr="000A2EB9">
        <w:rPr>
          <w:bCs/>
          <w:lang w:val="es-ES"/>
        </w:rPr>
        <w:t xml:space="preserve"> debe interpretarse según el esquema general de la Ley de Contrato de Trabajo, aplicando por analogía reglas como las antes mencionadas</w:t>
      </w:r>
      <w:r w:rsidR="00DE22BD" w:rsidRPr="000A2EB9">
        <w:rPr>
          <w:bCs/>
          <w:lang w:val="es-ES"/>
        </w:rPr>
        <w:t>.</w:t>
      </w:r>
      <w:r w:rsidRPr="000A2EB9">
        <w:rPr>
          <w:bCs/>
          <w:lang w:val="es-ES"/>
        </w:rPr>
        <w:t xml:space="preserve"> </w:t>
      </w:r>
    </w:p>
    <w:p w14:paraId="7C7C9A02" w14:textId="393A8397" w:rsidR="008B4939" w:rsidRPr="000A2EB9" w:rsidRDefault="008B4939" w:rsidP="00C20456">
      <w:pPr>
        <w:spacing w:line="360" w:lineRule="auto"/>
        <w:jc w:val="both"/>
        <w:rPr>
          <w:bCs/>
          <w:lang w:val="es-ES"/>
        </w:rPr>
      </w:pPr>
      <w:r w:rsidRPr="000A2EB9">
        <w:rPr>
          <w:bCs/>
          <w:lang w:val="es-ES"/>
        </w:rPr>
        <w:tab/>
        <w:t xml:space="preserve">Allende la trascendencia del precedente “Álvarez”, es necesario tener en cuenta que, de los 7 magistrados que votaron en tal causa, sólo permanecen en el Alto Tribunal </w:t>
      </w:r>
      <w:r w:rsidR="00203B23" w:rsidRPr="000A2EB9">
        <w:rPr>
          <w:bCs/>
          <w:lang w:val="es-ES"/>
        </w:rPr>
        <w:t>3</w:t>
      </w:r>
      <w:r w:rsidRPr="000A2EB9">
        <w:rPr>
          <w:bCs/>
          <w:lang w:val="es-ES"/>
        </w:rPr>
        <w:t xml:space="preserve"> (los ministros </w:t>
      </w:r>
      <w:r w:rsidR="0057689F" w:rsidRPr="000A2EB9">
        <w:rPr>
          <w:bCs/>
          <w:lang w:val="es-ES"/>
        </w:rPr>
        <w:t xml:space="preserve">Maqueda, </w:t>
      </w:r>
      <w:r w:rsidRPr="000A2EB9">
        <w:rPr>
          <w:bCs/>
          <w:lang w:val="es-ES"/>
        </w:rPr>
        <w:t xml:space="preserve">Highton y Lorenzetti). Esto impediría, en principio, tener certeza sobre la vigencia de la doctrina fijada y sobre el abandono de las posturas anteriormente esbozadas en “De Luca” y “Figueroa”. </w:t>
      </w:r>
    </w:p>
    <w:p w14:paraId="7F6ACCDA" w14:textId="49DC00EB" w:rsidR="00A70307" w:rsidRPr="000A2EB9" w:rsidRDefault="008B4939" w:rsidP="00C20456">
      <w:pPr>
        <w:spacing w:line="360" w:lineRule="auto"/>
        <w:jc w:val="both"/>
        <w:rPr>
          <w:bCs/>
          <w:lang w:val="es-ES"/>
        </w:rPr>
      </w:pPr>
      <w:r w:rsidRPr="000A2EB9">
        <w:rPr>
          <w:bCs/>
          <w:lang w:val="es-ES"/>
        </w:rPr>
        <w:t xml:space="preserve"> </w:t>
      </w:r>
      <w:r w:rsidRPr="000A2EB9">
        <w:rPr>
          <w:bCs/>
          <w:lang w:val="es-ES"/>
        </w:rPr>
        <w:tab/>
        <w:t>No obstante, como seguidamente se verá, algunas decisiones posteriores, con una nueva integración de la Corte Federal, permiten pensar que dicho Cuerpo, como tal, respeta lo decidido por mayoría en el leading case “Álvarez”.</w:t>
      </w:r>
    </w:p>
    <w:p w14:paraId="39D64626" w14:textId="0B797C23" w:rsidR="00C20456" w:rsidRPr="000A2EB9" w:rsidRDefault="008B4939" w:rsidP="00C20456">
      <w:pPr>
        <w:spacing w:line="360" w:lineRule="auto"/>
        <w:jc w:val="both"/>
        <w:rPr>
          <w:bCs/>
          <w:lang w:val="es-ES"/>
        </w:rPr>
      </w:pPr>
      <w:r w:rsidRPr="000A2EB9">
        <w:rPr>
          <w:bCs/>
          <w:lang w:val="es-ES"/>
        </w:rPr>
        <w:tab/>
        <w:t xml:space="preserve">El 26/03/2013 en la causa </w:t>
      </w:r>
      <w:r w:rsidRPr="000A2EB9">
        <w:rPr>
          <w:b/>
          <w:lang w:val="es-ES"/>
        </w:rPr>
        <w:t>“</w:t>
      </w:r>
      <w:r w:rsidR="00C20456" w:rsidRPr="000A2EB9">
        <w:rPr>
          <w:b/>
          <w:lang w:val="es-ES"/>
        </w:rPr>
        <w:t>Cejas, Adrián Enrique c/ FATE SA</w:t>
      </w:r>
      <w:r w:rsidRPr="000A2EB9">
        <w:rPr>
          <w:b/>
          <w:lang w:val="es-ES"/>
        </w:rPr>
        <w:t>”</w:t>
      </w:r>
      <w:r w:rsidRPr="000A2EB9">
        <w:rPr>
          <w:bCs/>
          <w:lang w:val="es-ES"/>
        </w:rPr>
        <w:t xml:space="preserve"> los mismos jueces que habían hecho mayoría en “Álvarez”</w:t>
      </w:r>
      <w:r w:rsidR="00E966F8" w:rsidRPr="000A2EB9">
        <w:rPr>
          <w:bCs/>
          <w:lang w:val="es-ES"/>
        </w:rPr>
        <w:t xml:space="preserve"> </w:t>
      </w:r>
      <w:r w:rsidRPr="000A2EB9">
        <w:rPr>
          <w:bCs/>
          <w:lang w:val="es-ES"/>
        </w:rPr>
        <w:t>ratific</w:t>
      </w:r>
      <w:r w:rsidR="00E966F8" w:rsidRPr="000A2EB9">
        <w:rPr>
          <w:bCs/>
          <w:lang w:val="es-ES"/>
        </w:rPr>
        <w:t>aron</w:t>
      </w:r>
      <w:r w:rsidRPr="000A2EB9">
        <w:rPr>
          <w:bCs/>
          <w:lang w:val="es-ES"/>
        </w:rPr>
        <w:t xml:space="preserve"> la doctrina sentada en este precedente (</w:t>
      </w:r>
      <w:r w:rsidRPr="000A2EB9">
        <w:rPr>
          <w:rStyle w:val="Refdenotaalpie"/>
          <w:bCs/>
          <w:lang w:val="es-ES"/>
        </w:rPr>
        <w:footnoteReference w:id="33"/>
      </w:r>
      <w:r w:rsidRPr="000A2EB9">
        <w:rPr>
          <w:bCs/>
          <w:lang w:val="es-ES"/>
        </w:rPr>
        <w:t>)</w:t>
      </w:r>
      <w:r w:rsidR="00E966F8" w:rsidRPr="000A2EB9">
        <w:rPr>
          <w:bCs/>
          <w:lang w:val="es-ES"/>
        </w:rPr>
        <w:t>, mientras que las juezas Highton y Argibay mantuvieron la posición disidente expuesta en aquel caso (</w:t>
      </w:r>
      <w:r w:rsidR="00E966F8" w:rsidRPr="000A2EB9">
        <w:rPr>
          <w:rStyle w:val="Refdenotaalpie"/>
          <w:bCs/>
          <w:lang w:val="es-ES"/>
        </w:rPr>
        <w:footnoteReference w:id="34"/>
      </w:r>
      <w:r w:rsidR="00E966F8" w:rsidRPr="000A2EB9">
        <w:rPr>
          <w:bCs/>
          <w:lang w:val="es-ES"/>
        </w:rPr>
        <w:t>).</w:t>
      </w:r>
    </w:p>
    <w:p w14:paraId="5A217B81" w14:textId="77777777" w:rsidR="00AD161C" w:rsidRPr="000A2EB9" w:rsidRDefault="00E966F8" w:rsidP="00D465BA">
      <w:pPr>
        <w:spacing w:line="360" w:lineRule="auto"/>
        <w:jc w:val="both"/>
        <w:rPr>
          <w:bCs/>
          <w:lang w:val="es-ES"/>
        </w:rPr>
      </w:pPr>
      <w:r w:rsidRPr="000A2EB9">
        <w:rPr>
          <w:bCs/>
          <w:lang w:val="es-ES"/>
        </w:rPr>
        <w:lastRenderedPageBreak/>
        <w:tab/>
        <w:t>La causa llegó al Máximo Tribunal ante el recurso extraordinario de ambas partes, ya que la Sala X de la CNAT había calificado como discriminatorio el despido dispuesto por la demandada,</w:t>
      </w:r>
      <w:r w:rsidR="00AD161C" w:rsidRPr="000A2EB9">
        <w:rPr>
          <w:bCs/>
          <w:lang w:val="es-ES"/>
        </w:rPr>
        <w:t xml:space="preserve"> encontrando</w:t>
      </w:r>
      <w:r w:rsidRPr="000A2EB9">
        <w:rPr>
          <w:bCs/>
          <w:lang w:val="es-ES"/>
        </w:rPr>
        <w:t xml:space="preserve"> probado que tuvo motivación en su acción gremial; sin embargo, aunque dicho Tribunal declaró aplicable al caso la ley 23.592 y nulo el despido, sostuvo la tesis que precedentemente reseñé -</w:t>
      </w:r>
      <w:r w:rsidR="00D465BA" w:rsidRPr="000A2EB9">
        <w:rPr>
          <w:bCs/>
          <w:lang w:val="es-ES"/>
        </w:rPr>
        <w:t xml:space="preserve">la expuesta </w:t>
      </w:r>
      <w:r w:rsidRPr="000A2EB9">
        <w:rPr>
          <w:bCs/>
          <w:lang w:val="es-ES"/>
        </w:rPr>
        <w:t xml:space="preserve">por la minoría en “Álvarez”- en orden a dar preeminencia al derecho del empleador a no mantener vigente un contrato. </w:t>
      </w:r>
    </w:p>
    <w:p w14:paraId="0D66745D" w14:textId="4AC6F512" w:rsidR="00D465BA" w:rsidRPr="000A2EB9" w:rsidRDefault="00AD161C" w:rsidP="00D465BA">
      <w:pPr>
        <w:spacing w:line="360" w:lineRule="auto"/>
        <w:jc w:val="both"/>
        <w:rPr>
          <w:bCs/>
          <w:lang w:val="es-ES"/>
        </w:rPr>
      </w:pPr>
      <w:r w:rsidRPr="000A2EB9">
        <w:rPr>
          <w:bCs/>
          <w:lang w:val="es-ES"/>
        </w:rPr>
        <w:t xml:space="preserve"> </w:t>
      </w:r>
      <w:r w:rsidRPr="000A2EB9">
        <w:rPr>
          <w:bCs/>
          <w:lang w:val="es-ES"/>
        </w:rPr>
        <w:tab/>
      </w:r>
      <w:r w:rsidR="00D465BA" w:rsidRPr="000A2EB9">
        <w:rPr>
          <w:bCs/>
          <w:lang w:val="es-ES"/>
        </w:rPr>
        <w:t>En efecto, l</w:t>
      </w:r>
      <w:r w:rsidRPr="000A2EB9">
        <w:rPr>
          <w:bCs/>
          <w:lang w:val="es-ES"/>
        </w:rPr>
        <w:t>a</w:t>
      </w:r>
      <w:r w:rsidR="00D465BA" w:rsidRPr="000A2EB9">
        <w:rPr>
          <w:bCs/>
          <w:lang w:val="es-ES"/>
        </w:rPr>
        <w:t xml:space="preserve"> </w:t>
      </w:r>
      <w:r w:rsidRPr="000A2EB9">
        <w:rPr>
          <w:bCs/>
          <w:lang w:val="es-ES"/>
        </w:rPr>
        <w:t>Cámara</w:t>
      </w:r>
      <w:r w:rsidR="00D465BA" w:rsidRPr="000A2EB9">
        <w:rPr>
          <w:bCs/>
          <w:lang w:val="es-ES"/>
        </w:rPr>
        <w:t xml:space="preserve"> había decidido mantener la condena a reincorporar al actor a su puesto de trabajo y a pagarle salarios caídos pero, para el caso de incumplimiento de la primera parte de la condena, había dispuesto que se convirt</w:t>
      </w:r>
      <w:r w:rsidRPr="000A2EB9">
        <w:rPr>
          <w:bCs/>
          <w:lang w:val="es-ES"/>
        </w:rPr>
        <w:t>iese</w:t>
      </w:r>
      <w:r w:rsidR="00D465BA" w:rsidRPr="000A2EB9">
        <w:rPr>
          <w:bCs/>
          <w:lang w:val="es-ES"/>
        </w:rPr>
        <w:t xml:space="preserve"> de pleno  derecho en la obligación de abonar, además de :as indemnizaciones que corresponda</w:t>
      </w:r>
      <w:r w:rsidRPr="000A2EB9">
        <w:rPr>
          <w:bCs/>
          <w:lang w:val="es-ES"/>
        </w:rPr>
        <w:t>n</w:t>
      </w:r>
      <w:r w:rsidR="00D465BA" w:rsidRPr="000A2EB9">
        <w:rPr>
          <w:bCs/>
          <w:lang w:val="es-ES"/>
        </w:rPr>
        <w:t xml:space="preserve"> por despido incausado, una indemnización adicional por el carácter discriminatorio del despido </w:t>
      </w:r>
      <w:r w:rsidRPr="000A2EB9">
        <w:rPr>
          <w:bCs/>
          <w:lang w:val="es-ES"/>
        </w:rPr>
        <w:t xml:space="preserve">y ese Tribunal </w:t>
      </w:r>
      <w:r w:rsidR="00D465BA" w:rsidRPr="000A2EB9">
        <w:rPr>
          <w:bCs/>
          <w:lang w:val="es-ES"/>
        </w:rPr>
        <w:t xml:space="preserve">fijara en un año de remuneraciones, es decir 13 salarios, aplicando por analogía la regla contenida en la ley 23.551 para los representantes sindicales y delegados. </w:t>
      </w:r>
    </w:p>
    <w:p w14:paraId="4E9BF234" w14:textId="2B38D46E" w:rsidR="00E966F8" w:rsidRPr="000A2EB9" w:rsidRDefault="004E1E41" w:rsidP="00C20456">
      <w:pPr>
        <w:spacing w:line="360" w:lineRule="auto"/>
        <w:jc w:val="both"/>
        <w:rPr>
          <w:bCs/>
          <w:lang w:val="es-ES"/>
        </w:rPr>
      </w:pPr>
      <w:r w:rsidRPr="000A2EB9">
        <w:rPr>
          <w:bCs/>
          <w:lang w:val="es-ES"/>
        </w:rPr>
        <w:tab/>
        <w:t>Pues bien, e</w:t>
      </w:r>
      <w:r w:rsidR="00E966F8" w:rsidRPr="000A2EB9">
        <w:rPr>
          <w:bCs/>
          <w:lang w:val="es-ES"/>
        </w:rPr>
        <w:t xml:space="preserve">n rigor, la Corte se remitió </w:t>
      </w:r>
      <w:r w:rsidR="00AD161C" w:rsidRPr="000A2EB9">
        <w:rPr>
          <w:bCs/>
          <w:lang w:val="es-ES"/>
        </w:rPr>
        <w:t xml:space="preserve">en este expediente </w:t>
      </w:r>
      <w:r w:rsidR="00E966F8" w:rsidRPr="000A2EB9">
        <w:rPr>
          <w:bCs/>
          <w:lang w:val="es-ES"/>
        </w:rPr>
        <w:t xml:space="preserve">al dictamen del Ministerio Público Fiscal en el </w:t>
      </w:r>
      <w:r w:rsidRPr="000A2EB9">
        <w:rPr>
          <w:bCs/>
          <w:lang w:val="es-ES"/>
        </w:rPr>
        <w:t xml:space="preserve">que se propició </w:t>
      </w:r>
      <w:r w:rsidR="00FC6286" w:rsidRPr="000A2EB9">
        <w:rPr>
          <w:bCs/>
          <w:lang w:val="es-ES"/>
        </w:rPr>
        <w:t>confirmar la aplicación al caso de la ley 23.592 y modificar el fallo recurrido en lo relativo a los alcances de la nulidad, ordenando la reinstalación del accionante.</w:t>
      </w:r>
    </w:p>
    <w:p w14:paraId="67E9630D" w14:textId="38B7B07B" w:rsidR="00E71C2F" w:rsidRPr="000A2EB9" w:rsidRDefault="00E71C2F" w:rsidP="00FC6286">
      <w:pPr>
        <w:spacing w:line="360" w:lineRule="auto"/>
        <w:jc w:val="both"/>
        <w:rPr>
          <w:bCs/>
          <w:lang w:val="es-ES"/>
        </w:rPr>
      </w:pPr>
      <w:r w:rsidRPr="000A2EB9">
        <w:rPr>
          <w:bCs/>
          <w:lang w:val="es-ES"/>
        </w:rPr>
        <w:tab/>
        <w:t xml:space="preserve">En el interín entre los dos pronunciamientos recién descriptos, la Corte Supremas en los autos </w:t>
      </w:r>
      <w:r w:rsidRPr="000A2EB9">
        <w:rPr>
          <w:b/>
          <w:lang w:val="es-ES"/>
        </w:rPr>
        <w:t>“Pellicori, Liliana Silvia c/ Colegio Público de Abogados de la Capital Federal”</w:t>
      </w:r>
      <w:r w:rsidRPr="000A2EB9">
        <w:rPr>
          <w:bCs/>
          <w:lang w:val="es-ES"/>
        </w:rPr>
        <w:t xml:space="preserve">, con el voto de los 4 jueces que formaron el bloque mayoritario en “Álvarez”, sin ocuparse en su intervención de la cuestión atinente a los alcances de la nulidad del despido discriminatorio, ingresó en el análisis de una cuestión adjetiva, por la brecha </w:t>
      </w:r>
      <w:r w:rsidR="00AD161C" w:rsidRPr="000A2EB9">
        <w:rPr>
          <w:bCs/>
          <w:lang w:val="es-ES"/>
        </w:rPr>
        <w:t xml:space="preserve">adjetiva </w:t>
      </w:r>
      <w:r w:rsidRPr="000A2EB9">
        <w:rPr>
          <w:bCs/>
          <w:lang w:val="es-ES"/>
        </w:rPr>
        <w:t>que permite la ya mencionada doctrina de la “sentencia arbitraria”.</w:t>
      </w:r>
    </w:p>
    <w:p w14:paraId="18AB7D52" w14:textId="77777777" w:rsidR="00E10E2B" w:rsidRPr="000A2EB9" w:rsidRDefault="00E71C2F" w:rsidP="0052642C">
      <w:pPr>
        <w:spacing w:line="360" w:lineRule="auto"/>
        <w:jc w:val="both"/>
        <w:rPr>
          <w:bCs/>
          <w:lang w:val="es-ES"/>
        </w:rPr>
      </w:pPr>
      <w:r w:rsidRPr="000A2EB9">
        <w:rPr>
          <w:bCs/>
          <w:lang w:val="es-ES"/>
        </w:rPr>
        <w:tab/>
        <w:t xml:space="preserve">En efecto, en fecha 15/11/2011 el Más Alto Tribunal argentino </w:t>
      </w:r>
      <w:r w:rsidR="00A97675" w:rsidRPr="000A2EB9">
        <w:rPr>
          <w:bCs/>
          <w:lang w:val="es-ES"/>
        </w:rPr>
        <w:t xml:space="preserve">hizo muy importantes consideraciones sobre la faz procesal del problema de la discriminación ya que </w:t>
      </w:r>
      <w:r w:rsidR="0052642C" w:rsidRPr="000A2EB9">
        <w:rPr>
          <w:bCs/>
          <w:lang w:val="es-ES"/>
        </w:rPr>
        <w:t>la Sala III de la CNAT declaró que la respuesta de “nulidad intensa” que contempla la ley 23.592 requiere de “una prueba muy convictiva y una apreciación exigente de los elementos probatorios</w:t>
      </w:r>
      <w:r w:rsidR="00E10E2B" w:rsidRPr="000A2EB9">
        <w:rPr>
          <w:bCs/>
          <w:lang w:val="es-ES"/>
        </w:rPr>
        <w:t xml:space="preserve"> </w:t>
      </w:r>
      <w:r w:rsidR="0052642C" w:rsidRPr="000A2EB9">
        <w:rPr>
          <w:bCs/>
          <w:lang w:val="es-ES"/>
        </w:rPr>
        <w:t xml:space="preserve">acompañados”, exigiendo el esfuerzo probatorio exclusivamente a quien aduce el carácter discriminatorio del despido. </w:t>
      </w:r>
    </w:p>
    <w:p w14:paraId="61903479" w14:textId="76200F6D" w:rsidR="00A97675" w:rsidRPr="000A2EB9" w:rsidRDefault="00E10E2B" w:rsidP="0052642C">
      <w:pPr>
        <w:spacing w:line="360" w:lineRule="auto"/>
        <w:jc w:val="both"/>
        <w:rPr>
          <w:bCs/>
          <w:lang w:val="es-ES"/>
        </w:rPr>
      </w:pPr>
      <w:r w:rsidRPr="000A2EB9">
        <w:rPr>
          <w:bCs/>
          <w:lang w:val="es-ES"/>
        </w:rPr>
        <w:t xml:space="preserve"> </w:t>
      </w:r>
      <w:r w:rsidRPr="000A2EB9">
        <w:rPr>
          <w:bCs/>
          <w:lang w:val="es-ES"/>
        </w:rPr>
        <w:tab/>
      </w:r>
      <w:r w:rsidR="0052642C" w:rsidRPr="000A2EB9">
        <w:rPr>
          <w:bCs/>
          <w:lang w:val="es-ES"/>
        </w:rPr>
        <w:t>Con ese criterio, la Sala interviniente juzgó que los elementos de ilustración acompañados a la causa no fueron suficientes para establecer un claro nexo causal entre la ruptura contractual y el motivo invocado por la actora. Cabe añadir que ese Tribunal admitió la existencia de indicios favorables a la existencia de discriminación pero los juzgó inhábiles para comprobar el tinte discriminatorio aducido</w:t>
      </w:r>
      <w:r w:rsidRPr="000A2EB9">
        <w:rPr>
          <w:bCs/>
          <w:lang w:val="es-ES"/>
        </w:rPr>
        <w:t>, en virtud del exigente estándar probatorio exigido según su criterio.</w:t>
      </w:r>
    </w:p>
    <w:p w14:paraId="7DDCD1A9" w14:textId="30F6FC85" w:rsidR="0052642C" w:rsidRPr="000A2EB9" w:rsidRDefault="0052642C" w:rsidP="00C14C6A">
      <w:pPr>
        <w:spacing w:line="360" w:lineRule="auto"/>
        <w:jc w:val="both"/>
        <w:rPr>
          <w:bCs/>
          <w:lang w:val="es-ES"/>
        </w:rPr>
      </w:pPr>
      <w:r w:rsidRPr="000A2EB9">
        <w:rPr>
          <w:bCs/>
          <w:lang w:val="es-ES"/>
        </w:rPr>
        <w:tab/>
      </w:r>
      <w:r w:rsidR="00C14C6A" w:rsidRPr="000A2EB9">
        <w:rPr>
          <w:bCs/>
          <w:lang w:val="es-ES"/>
        </w:rPr>
        <w:t xml:space="preserve">Con </w:t>
      </w:r>
      <w:r w:rsidRPr="000A2EB9">
        <w:rPr>
          <w:bCs/>
          <w:lang w:val="es-ES"/>
        </w:rPr>
        <w:t xml:space="preserve">una </w:t>
      </w:r>
      <w:r w:rsidR="00C14C6A" w:rsidRPr="000A2EB9">
        <w:rPr>
          <w:bCs/>
          <w:lang w:val="es-ES"/>
        </w:rPr>
        <w:t>profusa cita de instrumentos internacionales y decisiones jurisprudenciales del mundo entero destinadas a mostrar el fuerte concierto y reacción internacional en torno de la materia examinada</w:t>
      </w:r>
      <w:r w:rsidR="006E153B" w:rsidRPr="000A2EB9">
        <w:rPr>
          <w:bCs/>
          <w:lang w:val="es-ES"/>
        </w:rPr>
        <w:t xml:space="preserve"> y </w:t>
      </w:r>
      <w:r w:rsidR="00C14C6A" w:rsidRPr="000A2EB9">
        <w:rPr>
          <w:bCs/>
          <w:lang w:val="es-ES"/>
        </w:rPr>
        <w:t xml:space="preserve">la gravedad de los problemas que entraña, </w:t>
      </w:r>
      <w:r w:rsidRPr="000A2EB9">
        <w:rPr>
          <w:bCs/>
          <w:lang w:val="es-ES"/>
        </w:rPr>
        <w:t xml:space="preserve">la </w:t>
      </w:r>
      <w:r w:rsidRPr="000A2EB9">
        <w:rPr>
          <w:bCs/>
          <w:lang w:val="es-ES"/>
        </w:rPr>
        <w:lastRenderedPageBreak/>
        <w:t xml:space="preserve">Corte Suprema, con el voto </w:t>
      </w:r>
      <w:r w:rsidR="00217938" w:rsidRPr="000A2EB9">
        <w:rPr>
          <w:bCs/>
          <w:lang w:val="es-ES"/>
        </w:rPr>
        <w:t xml:space="preserve">exclusivo </w:t>
      </w:r>
      <w:r w:rsidRPr="000A2EB9">
        <w:rPr>
          <w:bCs/>
          <w:lang w:val="es-ES"/>
        </w:rPr>
        <w:t>de los jueces Fayt, Petracchi, Maqueda y Zaffaroni</w:t>
      </w:r>
      <w:r w:rsidR="006E153B" w:rsidRPr="000A2EB9">
        <w:rPr>
          <w:bCs/>
          <w:lang w:val="es-ES"/>
        </w:rPr>
        <w:t>,</w:t>
      </w:r>
      <w:r w:rsidR="00217938" w:rsidRPr="000A2EB9">
        <w:rPr>
          <w:bCs/>
          <w:lang w:val="es-ES"/>
        </w:rPr>
        <w:t xml:space="preserve"> hizo relevantes declaraciones y, ocupándose de un aspecto procesal como es el régimen probatorio</w:t>
      </w:r>
      <w:r w:rsidR="009E1965" w:rsidRPr="000A2EB9">
        <w:rPr>
          <w:bCs/>
          <w:lang w:val="es-ES"/>
        </w:rPr>
        <w:t xml:space="preserve"> para la acreditación de hechos</w:t>
      </w:r>
      <w:r w:rsidR="00217938" w:rsidRPr="000A2EB9">
        <w:rPr>
          <w:bCs/>
          <w:lang w:val="es-ES"/>
        </w:rPr>
        <w:t>, creó pretorianamente un standard para aplicarse en este tipo de procesos.</w:t>
      </w:r>
    </w:p>
    <w:p w14:paraId="1FEDC2EA" w14:textId="08A60454" w:rsidR="006E153B" w:rsidRPr="000A2EB9" w:rsidRDefault="006E153B" w:rsidP="00BD59BD">
      <w:pPr>
        <w:spacing w:line="360" w:lineRule="auto"/>
        <w:jc w:val="both"/>
        <w:rPr>
          <w:bCs/>
          <w:lang w:val="es-ES"/>
        </w:rPr>
      </w:pPr>
      <w:r w:rsidRPr="000A2EB9">
        <w:rPr>
          <w:bCs/>
          <w:lang w:val="es-ES"/>
        </w:rPr>
        <w:t xml:space="preserve"> </w:t>
      </w:r>
      <w:r w:rsidRPr="000A2EB9">
        <w:rPr>
          <w:bCs/>
          <w:lang w:val="es-ES"/>
        </w:rPr>
        <w:tab/>
        <w:t xml:space="preserve">Señaló el fallo que </w:t>
      </w:r>
      <w:r w:rsidR="00BD59BD" w:rsidRPr="000A2EB9">
        <w:rPr>
          <w:bCs/>
          <w:lang w:val="es-ES"/>
        </w:rPr>
        <w:t>la cuestión de los medios procesales</w:t>
      </w:r>
      <w:r w:rsidRPr="000A2EB9">
        <w:rPr>
          <w:bCs/>
          <w:lang w:val="es-ES"/>
        </w:rPr>
        <w:t xml:space="preserve"> </w:t>
      </w:r>
      <w:r w:rsidR="00BD59BD" w:rsidRPr="000A2EB9">
        <w:rPr>
          <w:bCs/>
          <w:lang w:val="es-ES"/>
        </w:rPr>
        <w:t>destinados a la protección y, en su caso, reparación de los</w:t>
      </w:r>
      <w:r w:rsidRPr="000A2EB9">
        <w:rPr>
          <w:bCs/>
          <w:lang w:val="es-ES"/>
        </w:rPr>
        <w:t xml:space="preserve"> </w:t>
      </w:r>
      <w:r w:rsidR="00BD59BD" w:rsidRPr="000A2EB9">
        <w:rPr>
          <w:bCs/>
          <w:lang w:val="es-ES"/>
        </w:rPr>
        <w:t>derechos y libertades humanos, se erigió como uno de los</w:t>
      </w:r>
      <w:r w:rsidRPr="000A2EB9">
        <w:rPr>
          <w:bCs/>
          <w:lang w:val="es-ES"/>
        </w:rPr>
        <w:t xml:space="preserve"> </w:t>
      </w:r>
      <w:r w:rsidR="00BD59BD" w:rsidRPr="000A2EB9">
        <w:rPr>
          <w:bCs/>
          <w:lang w:val="es-ES"/>
        </w:rPr>
        <w:t>capítulos fundamentales del Derecho Internacional,</w:t>
      </w:r>
      <w:r w:rsidRPr="000A2EB9">
        <w:rPr>
          <w:bCs/>
          <w:lang w:val="es-ES"/>
        </w:rPr>
        <w:t xml:space="preserve"> </w:t>
      </w:r>
      <w:r w:rsidR="00BD59BD" w:rsidRPr="000A2EB9">
        <w:rPr>
          <w:bCs/>
          <w:lang w:val="es-ES"/>
        </w:rPr>
        <w:t xml:space="preserve">impulsada por </w:t>
      </w:r>
      <w:r w:rsidRPr="000A2EB9">
        <w:rPr>
          <w:bCs/>
          <w:lang w:val="es-ES"/>
        </w:rPr>
        <w:t xml:space="preserve">la </w:t>
      </w:r>
      <w:r w:rsidR="004F6ECA" w:rsidRPr="000A2EB9">
        <w:rPr>
          <w:bCs/>
          <w:lang w:val="es-ES"/>
        </w:rPr>
        <w:t>comprobación</w:t>
      </w:r>
      <w:r w:rsidRPr="000A2EB9">
        <w:rPr>
          <w:bCs/>
          <w:lang w:val="es-ES"/>
        </w:rPr>
        <w:t xml:space="preserve"> de </w:t>
      </w:r>
      <w:r w:rsidR="00BD59BD" w:rsidRPr="000A2EB9">
        <w:rPr>
          <w:bCs/>
          <w:lang w:val="es-ES"/>
        </w:rPr>
        <w:t>que “</w:t>
      </w:r>
      <w:r w:rsidR="00BD59BD" w:rsidRPr="000A2EB9">
        <w:rPr>
          <w:bCs/>
          <w:i/>
          <w:iCs/>
          <w:lang w:val="es-ES"/>
        </w:rPr>
        <w:t>no basta con que los recursos existan</w:t>
      </w:r>
      <w:r w:rsidRPr="000A2EB9">
        <w:rPr>
          <w:bCs/>
          <w:i/>
          <w:iCs/>
          <w:lang w:val="es-ES"/>
        </w:rPr>
        <w:t xml:space="preserve"> </w:t>
      </w:r>
      <w:r w:rsidR="00BD59BD" w:rsidRPr="000A2EB9">
        <w:rPr>
          <w:bCs/>
          <w:i/>
          <w:iCs/>
          <w:lang w:val="es-ES"/>
        </w:rPr>
        <w:t>formalmente, sino es preciso que sean efectivos, es decir, se</w:t>
      </w:r>
      <w:r w:rsidRPr="000A2EB9">
        <w:rPr>
          <w:bCs/>
          <w:i/>
          <w:iCs/>
          <w:lang w:val="es-ES"/>
        </w:rPr>
        <w:t xml:space="preserve"> </w:t>
      </w:r>
      <w:r w:rsidR="00BD59BD" w:rsidRPr="000A2EB9">
        <w:rPr>
          <w:bCs/>
          <w:i/>
          <w:iCs/>
          <w:lang w:val="es-ES"/>
        </w:rPr>
        <w:t>debe brindar a la persona la posibilidad real de interponer un</w:t>
      </w:r>
      <w:r w:rsidRPr="000A2EB9">
        <w:rPr>
          <w:bCs/>
          <w:i/>
          <w:iCs/>
          <w:lang w:val="es-ES"/>
        </w:rPr>
        <w:t xml:space="preserve"> </w:t>
      </w:r>
      <w:r w:rsidR="00BD59BD" w:rsidRPr="000A2EB9">
        <w:rPr>
          <w:bCs/>
          <w:i/>
          <w:iCs/>
          <w:lang w:val="es-ES"/>
        </w:rPr>
        <w:t>recurso […] que permita alcanzar, en su caso, la protección</w:t>
      </w:r>
      <w:r w:rsidRPr="000A2EB9">
        <w:rPr>
          <w:bCs/>
          <w:i/>
          <w:iCs/>
          <w:lang w:val="es-ES"/>
        </w:rPr>
        <w:t xml:space="preserve"> </w:t>
      </w:r>
      <w:r w:rsidR="00BD59BD" w:rsidRPr="000A2EB9">
        <w:rPr>
          <w:bCs/>
          <w:i/>
          <w:iCs/>
          <w:lang w:val="es-ES"/>
        </w:rPr>
        <w:t>judicial requerida</w:t>
      </w:r>
      <w:r w:rsidR="00BD59BD" w:rsidRPr="000A2EB9">
        <w:rPr>
          <w:bCs/>
          <w:lang w:val="es-ES"/>
        </w:rPr>
        <w:t>”</w:t>
      </w:r>
      <w:r w:rsidRPr="000A2EB9">
        <w:rPr>
          <w:bCs/>
          <w:lang w:val="es-ES"/>
        </w:rPr>
        <w:t xml:space="preserve">; y añadió el Alto Tribunal que la </w:t>
      </w:r>
      <w:r w:rsidR="00BD59BD" w:rsidRPr="000A2EB9">
        <w:rPr>
          <w:bCs/>
          <w:lang w:val="es-ES"/>
        </w:rPr>
        <w:t>efectividad del recurso,</w:t>
      </w:r>
      <w:r w:rsidRPr="000A2EB9">
        <w:rPr>
          <w:bCs/>
          <w:lang w:val="es-ES"/>
        </w:rPr>
        <w:t xml:space="preserve"> </w:t>
      </w:r>
      <w:r w:rsidR="00BD59BD" w:rsidRPr="000A2EB9">
        <w:rPr>
          <w:bCs/>
          <w:lang w:val="es-ES"/>
        </w:rPr>
        <w:t>naturalmente, debe ser medida de acuerdo a la posibilidad de</w:t>
      </w:r>
      <w:r w:rsidRPr="000A2EB9">
        <w:rPr>
          <w:bCs/>
          <w:lang w:val="es-ES"/>
        </w:rPr>
        <w:t xml:space="preserve"> </w:t>
      </w:r>
      <w:r w:rsidR="00BD59BD" w:rsidRPr="000A2EB9">
        <w:rPr>
          <w:bCs/>
          <w:lang w:val="es-ES"/>
        </w:rPr>
        <w:t>cumplir con su objeto de obtener el resultado para el que fue</w:t>
      </w:r>
      <w:r w:rsidRPr="000A2EB9">
        <w:rPr>
          <w:bCs/>
          <w:lang w:val="es-ES"/>
        </w:rPr>
        <w:t xml:space="preserve"> </w:t>
      </w:r>
      <w:r w:rsidR="00BD59BD" w:rsidRPr="000A2EB9">
        <w:rPr>
          <w:bCs/>
          <w:lang w:val="es-ES"/>
        </w:rPr>
        <w:t>concebido</w:t>
      </w:r>
      <w:r w:rsidRPr="000A2EB9">
        <w:rPr>
          <w:bCs/>
          <w:lang w:val="es-ES"/>
        </w:rPr>
        <w:t xml:space="preserve"> y vencer l</w:t>
      </w:r>
      <w:r w:rsidR="00BD59BD" w:rsidRPr="000A2EB9">
        <w:rPr>
          <w:bCs/>
          <w:lang w:val="es-ES"/>
        </w:rPr>
        <w:t>as</w:t>
      </w:r>
      <w:r w:rsidRPr="000A2EB9">
        <w:rPr>
          <w:bCs/>
          <w:lang w:val="es-ES"/>
        </w:rPr>
        <w:t xml:space="preserve"> </w:t>
      </w:r>
      <w:r w:rsidR="00BD59BD" w:rsidRPr="000A2EB9">
        <w:rPr>
          <w:bCs/>
          <w:lang w:val="es-ES"/>
        </w:rPr>
        <w:t>serias dificultades probatorias por las que regularmente</w:t>
      </w:r>
      <w:r w:rsidRPr="000A2EB9">
        <w:rPr>
          <w:bCs/>
          <w:lang w:val="es-ES"/>
        </w:rPr>
        <w:t xml:space="preserve"> </w:t>
      </w:r>
      <w:r w:rsidR="00BD59BD" w:rsidRPr="000A2EB9">
        <w:rPr>
          <w:bCs/>
          <w:lang w:val="es-ES"/>
        </w:rPr>
        <w:t xml:space="preserve">atraviesan dichas víctimas para acreditar, mediante plena prueba, el aludido motivo. </w:t>
      </w:r>
    </w:p>
    <w:p w14:paraId="7CF13B1C" w14:textId="6AFF17BB" w:rsidR="00BD59BD" w:rsidRPr="000A2EB9" w:rsidRDefault="006E153B" w:rsidP="00334F85">
      <w:pPr>
        <w:spacing w:line="360" w:lineRule="auto"/>
        <w:jc w:val="both"/>
        <w:rPr>
          <w:bCs/>
          <w:lang w:val="es-ES"/>
        </w:rPr>
      </w:pPr>
      <w:r w:rsidRPr="000A2EB9">
        <w:rPr>
          <w:bCs/>
          <w:lang w:val="es-ES"/>
        </w:rPr>
        <w:t xml:space="preserve"> </w:t>
      </w:r>
      <w:r w:rsidRPr="000A2EB9">
        <w:rPr>
          <w:bCs/>
          <w:lang w:val="es-ES"/>
        </w:rPr>
        <w:tab/>
      </w:r>
      <w:r w:rsidR="00334F85" w:rsidRPr="000A2EB9">
        <w:rPr>
          <w:bCs/>
          <w:lang w:val="es-ES"/>
        </w:rPr>
        <w:t xml:space="preserve">También remarcó la </w:t>
      </w:r>
      <w:r w:rsidRPr="000A2EB9">
        <w:rPr>
          <w:bCs/>
          <w:lang w:val="es-ES"/>
        </w:rPr>
        <w:t xml:space="preserve">Corte Federal </w:t>
      </w:r>
      <w:r w:rsidR="00334F85" w:rsidRPr="000A2EB9">
        <w:rPr>
          <w:bCs/>
          <w:lang w:val="es-ES"/>
        </w:rPr>
        <w:t xml:space="preserve">que </w:t>
      </w:r>
      <w:r w:rsidR="00BD59BD" w:rsidRPr="000A2EB9">
        <w:rPr>
          <w:bCs/>
          <w:lang w:val="es-ES"/>
        </w:rPr>
        <w:t>la necesaria</w:t>
      </w:r>
      <w:r w:rsidRPr="000A2EB9">
        <w:rPr>
          <w:bCs/>
          <w:lang w:val="es-ES"/>
        </w:rPr>
        <w:t xml:space="preserve"> </w:t>
      </w:r>
      <w:r w:rsidR="00BD59BD" w:rsidRPr="000A2EB9">
        <w:rPr>
          <w:bCs/>
          <w:lang w:val="es-ES"/>
        </w:rPr>
        <w:t>adecuación de los remedios adquiere todavía más entidad en</w:t>
      </w:r>
      <w:r w:rsidRPr="000A2EB9">
        <w:rPr>
          <w:bCs/>
          <w:lang w:val="es-ES"/>
        </w:rPr>
        <w:t xml:space="preserve"> </w:t>
      </w:r>
      <w:r w:rsidR="00BD59BD" w:rsidRPr="000A2EB9">
        <w:rPr>
          <w:bCs/>
          <w:lang w:val="es-ES"/>
        </w:rPr>
        <w:t xml:space="preserve">casos </w:t>
      </w:r>
      <w:r w:rsidR="00334F85" w:rsidRPr="000A2EB9">
        <w:rPr>
          <w:bCs/>
          <w:lang w:val="es-ES"/>
        </w:rPr>
        <w:t xml:space="preserve">los que, </w:t>
      </w:r>
      <w:r w:rsidR="00BD59BD" w:rsidRPr="000A2EB9">
        <w:rPr>
          <w:bCs/>
          <w:lang w:val="es-ES"/>
        </w:rPr>
        <w:t xml:space="preserve">como el </w:t>
      </w:r>
      <w:r w:rsidR="00334F85" w:rsidRPr="000A2EB9">
        <w:rPr>
          <w:bCs/>
          <w:lang w:val="es-ES"/>
        </w:rPr>
        <w:t xml:space="preserve">resuelto, </w:t>
      </w:r>
      <w:r w:rsidR="00BD59BD" w:rsidRPr="000A2EB9">
        <w:rPr>
          <w:bCs/>
          <w:lang w:val="es-ES"/>
        </w:rPr>
        <w:t>el agravio puesto en la</w:t>
      </w:r>
      <w:r w:rsidR="00334F85" w:rsidRPr="000A2EB9">
        <w:rPr>
          <w:bCs/>
          <w:lang w:val="es-ES"/>
        </w:rPr>
        <w:t xml:space="preserve"> </w:t>
      </w:r>
      <w:r w:rsidR="00BD59BD" w:rsidRPr="000A2EB9">
        <w:rPr>
          <w:bCs/>
          <w:lang w:val="es-ES"/>
        </w:rPr>
        <w:t>liza judicial involucra a los principios de igualdad y de</w:t>
      </w:r>
      <w:r w:rsidR="00334F85" w:rsidRPr="000A2EB9">
        <w:rPr>
          <w:bCs/>
          <w:lang w:val="es-ES"/>
        </w:rPr>
        <w:t xml:space="preserve"> </w:t>
      </w:r>
      <w:r w:rsidR="00BD59BD" w:rsidRPr="000A2EB9">
        <w:rPr>
          <w:bCs/>
          <w:lang w:val="es-ES"/>
        </w:rPr>
        <w:t>prohibición de toda discriminación, por cuanto estos resultan</w:t>
      </w:r>
      <w:r w:rsidR="00334F85" w:rsidRPr="000A2EB9">
        <w:rPr>
          <w:bCs/>
          <w:lang w:val="es-ES"/>
        </w:rPr>
        <w:t xml:space="preserve"> </w:t>
      </w:r>
      <w:r w:rsidR="00BD59BD" w:rsidRPr="000A2EB9">
        <w:rPr>
          <w:bCs/>
          <w:lang w:val="es-ES"/>
        </w:rPr>
        <w:t>elementos arquitectónicos del orden jurídico constitucional</w:t>
      </w:r>
      <w:r w:rsidR="00334F85" w:rsidRPr="000A2EB9">
        <w:rPr>
          <w:bCs/>
          <w:lang w:val="es-ES"/>
        </w:rPr>
        <w:t xml:space="preserve"> </w:t>
      </w:r>
      <w:r w:rsidR="00BD59BD" w:rsidRPr="000A2EB9">
        <w:rPr>
          <w:bCs/>
          <w:lang w:val="es-ES"/>
        </w:rPr>
        <w:t>argentino e internacional</w:t>
      </w:r>
      <w:r w:rsidR="00334F85" w:rsidRPr="000A2EB9">
        <w:rPr>
          <w:bCs/>
          <w:lang w:val="es-ES"/>
        </w:rPr>
        <w:t xml:space="preserve"> </w:t>
      </w:r>
      <w:r w:rsidR="00BD59BD" w:rsidRPr="000A2EB9">
        <w:rPr>
          <w:bCs/>
          <w:lang w:val="es-ES"/>
        </w:rPr>
        <w:t>en los</w:t>
      </w:r>
      <w:r w:rsidR="00334F85" w:rsidRPr="000A2EB9">
        <w:rPr>
          <w:bCs/>
          <w:lang w:val="es-ES"/>
        </w:rPr>
        <w:t xml:space="preserve"> </w:t>
      </w:r>
      <w:r w:rsidR="00BD59BD" w:rsidRPr="000A2EB9">
        <w:rPr>
          <w:bCs/>
          <w:lang w:val="es-ES"/>
        </w:rPr>
        <w:t xml:space="preserve">reclamos o demandas civiles por discriminación, </w:t>
      </w:r>
      <w:r w:rsidR="00334F85" w:rsidRPr="000A2EB9">
        <w:rPr>
          <w:bCs/>
          <w:lang w:val="es-ES"/>
        </w:rPr>
        <w:t xml:space="preserve">añadiendo que </w:t>
      </w:r>
      <w:r w:rsidR="00BD59BD" w:rsidRPr="000A2EB9">
        <w:rPr>
          <w:bCs/>
          <w:lang w:val="es-ES"/>
        </w:rPr>
        <w:t>las normas</w:t>
      </w:r>
      <w:r w:rsidR="00334F85" w:rsidRPr="000A2EB9">
        <w:rPr>
          <w:bCs/>
          <w:lang w:val="es-ES"/>
        </w:rPr>
        <w:t xml:space="preserve"> </w:t>
      </w:r>
      <w:r w:rsidR="00BD59BD" w:rsidRPr="000A2EB9">
        <w:rPr>
          <w:bCs/>
          <w:lang w:val="es-ES"/>
        </w:rPr>
        <w:t>procesales han de regular la carga de la prueba en términos tales</w:t>
      </w:r>
      <w:r w:rsidR="00334F85" w:rsidRPr="000A2EB9">
        <w:rPr>
          <w:bCs/>
          <w:lang w:val="es-ES"/>
        </w:rPr>
        <w:t xml:space="preserve"> </w:t>
      </w:r>
      <w:r w:rsidR="00BD59BD" w:rsidRPr="000A2EB9">
        <w:rPr>
          <w:bCs/>
          <w:lang w:val="es-ES"/>
        </w:rPr>
        <w:t>que, una vez que el reclamante hubiese acreditado “prima facie”</w:t>
      </w:r>
      <w:r w:rsidR="00334F85" w:rsidRPr="000A2EB9">
        <w:rPr>
          <w:bCs/>
          <w:lang w:val="es-ES"/>
        </w:rPr>
        <w:t xml:space="preserve"> </w:t>
      </w:r>
      <w:r w:rsidR="00BD59BD" w:rsidRPr="000A2EB9">
        <w:rPr>
          <w:bCs/>
          <w:lang w:val="es-ES"/>
        </w:rPr>
        <w:t>que ha sido víctima de una discriminación, deberá ser el</w:t>
      </w:r>
      <w:r w:rsidR="00334F85" w:rsidRPr="000A2EB9">
        <w:rPr>
          <w:bCs/>
          <w:lang w:val="es-ES"/>
        </w:rPr>
        <w:t xml:space="preserve"> </w:t>
      </w:r>
      <w:r w:rsidR="00BD59BD" w:rsidRPr="000A2EB9">
        <w:rPr>
          <w:bCs/>
          <w:lang w:val="es-ES"/>
        </w:rPr>
        <w:t xml:space="preserve">demandado la parte que produzca la prueba que </w:t>
      </w:r>
      <w:r w:rsidR="009E1965" w:rsidRPr="000A2EB9">
        <w:rPr>
          <w:bCs/>
          <w:lang w:val="es-ES"/>
        </w:rPr>
        <w:t xml:space="preserve">explique y </w:t>
      </w:r>
      <w:r w:rsidR="00BD59BD" w:rsidRPr="000A2EB9">
        <w:rPr>
          <w:bCs/>
          <w:lang w:val="es-ES"/>
        </w:rPr>
        <w:t>justifique, de</w:t>
      </w:r>
      <w:r w:rsidR="00334F85" w:rsidRPr="000A2EB9">
        <w:rPr>
          <w:bCs/>
          <w:lang w:val="es-ES"/>
        </w:rPr>
        <w:t xml:space="preserve"> </w:t>
      </w:r>
      <w:r w:rsidR="00BD59BD" w:rsidRPr="000A2EB9">
        <w:rPr>
          <w:bCs/>
          <w:lang w:val="es-ES"/>
        </w:rPr>
        <w:t>manera objetiva y razonable, el trato diferente</w:t>
      </w:r>
      <w:r w:rsidR="00334F85" w:rsidRPr="000A2EB9">
        <w:rPr>
          <w:bCs/>
          <w:lang w:val="es-ES"/>
        </w:rPr>
        <w:t>.</w:t>
      </w:r>
      <w:r w:rsidR="00BD59BD" w:rsidRPr="000A2EB9">
        <w:rPr>
          <w:bCs/>
          <w:lang w:val="es-ES"/>
        </w:rPr>
        <w:t xml:space="preserve"> </w:t>
      </w:r>
    </w:p>
    <w:p w14:paraId="3989776C" w14:textId="77777777" w:rsidR="00334F85" w:rsidRPr="000A2EB9" w:rsidRDefault="00BD59BD" w:rsidP="00334F85">
      <w:pPr>
        <w:spacing w:line="360" w:lineRule="auto"/>
        <w:ind w:firstLine="720"/>
        <w:jc w:val="both"/>
        <w:rPr>
          <w:bCs/>
          <w:lang w:val="es-ES"/>
        </w:rPr>
      </w:pPr>
      <w:r w:rsidRPr="000A2EB9">
        <w:rPr>
          <w:bCs/>
          <w:lang w:val="es-ES"/>
        </w:rPr>
        <w:t>E</w:t>
      </w:r>
      <w:r w:rsidR="00334F85" w:rsidRPr="000A2EB9">
        <w:rPr>
          <w:bCs/>
          <w:lang w:val="es-ES"/>
        </w:rPr>
        <w:t xml:space="preserve">s que, siguió apuntando el pronunciamiento bajo análisis, uno </w:t>
      </w:r>
      <w:r w:rsidRPr="000A2EB9">
        <w:rPr>
          <w:bCs/>
          <w:lang w:val="es-ES"/>
        </w:rPr>
        <w:t>de los problemas</w:t>
      </w:r>
      <w:r w:rsidR="00334F85" w:rsidRPr="000A2EB9">
        <w:rPr>
          <w:bCs/>
          <w:lang w:val="es-ES"/>
        </w:rPr>
        <w:t xml:space="preserve"> </w:t>
      </w:r>
      <w:r w:rsidRPr="000A2EB9">
        <w:rPr>
          <w:bCs/>
          <w:lang w:val="es-ES"/>
        </w:rPr>
        <w:t>de procedimiento más importantes que se plantean cuando una</w:t>
      </w:r>
      <w:r w:rsidR="00334F85" w:rsidRPr="000A2EB9">
        <w:rPr>
          <w:bCs/>
          <w:lang w:val="es-ES"/>
        </w:rPr>
        <w:t xml:space="preserve"> </w:t>
      </w:r>
      <w:r w:rsidRPr="000A2EB9">
        <w:rPr>
          <w:bCs/>
          <w:lang w:val="es-ES"/>
        </w:rPr>
        <w:t>persona alega una discriminación en el empleo o la ocupación se refiere a que</w:t>
      </w:r>
      <w:r w:rsidR="00334F85" w:rsidRPr="000A2EB9">
        <w:rPr>
          <w:bCs/>
          <w:lang w:val="es-ES"/>
        </w:rPr>
        <w:t>,</w:t>
      </w:r>
      <w:r w:rsidRPr="000A2EB9">
        <w:rPr>
          <w:bCs/>
          <w:lang w:val="es-ES"/>
        </w:rPr>
        <w:t xml:space="preserve"> con frecuencia</w:t>
      </w:r>
      <w:r w:rsidR="00334F85" w:rsidRPr="000A2EB9">
        <w:rPr>
          <w:bCs/>
          <w:lang w:val="es-ES"/>
        </w:rPr>
        <w:t>,</w:t>
      </w:r>
      <w:r w:rsidRPr="000A2EB9">
        <w:rPr>
          <w:bCs/>
          <w:lang w:val="es-ES"/>
        </w:rPr>
        <w:t xml:space="preserve"> le corresponde la carga de la prueba</w:t>
      </w:r>
      <w:r w:rsidR="00334F85" w:rsidRPr="000A2EB9">
        <w:rPr>
          <w:bCs/>
          <w:lang w:val="es-ES"/>
        </w:rPr>
        <w:t xml:space="preserve"> </w:t>
      </w:r>
      <w:r w:rsidRPr="000A2EB9">
        <w:rPr>
          <w:bCs/>
          <w:lang w:val="es-ES"/>
        </w:rPr>
        <w:t>del motivo discriminatorio subyacente al acto incriminado, lo que</w:t>
      </w:r>
      <w:r w:rsidR="00334F85" w:rsidRPr="000A2EB9">
        <w:rPr>
          <w:bCs/>
          <w:lang w:val="es-ES"/>
        </w:rPr>
        <w:t xml:space="preserve"> </w:t>
      </w:r>
      <w:r w:rsidRPr="000A2EB9">
        <w:rPr>
          <w:bCs/>
          <w:lang w:val="es-ES"/>
        </w:rPr>
        <w:t>puede constituir un obstáculo insuperable a la reparación del</w:t>
      </w:r>
      <w:r w:rsidR="00334F85" w:rsidRPr="000A2EB9">
        <w:rPr>
          <w:bCs/>
          <w:lang w:val="es-ES"/>
        </w:rPr>
        <w:t xml:space="preserve"> </w:t>
      </w:r>
      <w:r w:rsidRPr="000A2EB9">
        <w:rPr>
          <w:bCs/>
          <w:lang w:val="es-ES"/>
        </w:rPr>
        <w:t>perjuicio sufrido</w:t>
      </w:r>
      <w:r w:rsidR="00334F85" w:rsidRPr="000A2EB9">
        <w:rPr>
          <w:bCs/>
          <w:lang w:val="es-ES"/>
        </w:rPr>
        <w:t xml:space="preserve">, ya que frecuentemente </w:t>
      </w:r>
      <w:r w:rsidRPr="000A2EB9">
        <w:rPr>
          <w:bCs/>
          <w:lang w:val="es-ES"/>
        </w:rPr>
        <w:t xml:space="preserve"> discriminación </w:t>
      </w:r>
      <w:r w:rsidR="00334F85" w:rsidRPr="000A2EB9">
        <w:rPr>
          <w:bCs/>
          <w:lang w:val="es-ES"/>
        </w:rPr>
        <w:t>consiste en</w:t>
      </w:r>
      <w:r w:rsidRPr="000A2EB9">
        <w:rPr>
          <w:bCs/>
          <w:lang w:val="es-ES"/>
        </w:rPr>
        <w:t xml:space="preserve"> una acción o una actividad más presunta que</w:t>
      </w:r>
      <w:r w:rsidR="00334F85" w:rsidRPr="000A2EB9">
        <w:rPr>
          <w:bCs/>
          <w:lang w:val="es-ES"/>
        </w:rPr>
        <w:t xml:space="preserve"> </w:t>
      </w:r>
      <w:r w:rsidRPr="000A2EB9">
        <w:rPr>
          <w:bCs/>
          <w:lang w:val="es-ES"/>
        </w:rPr>
        <w:t>patente, y difícil de demostrar</w:t>
      </w:r>
      <w:r w:rsidR="00334F85" w:rsidRPr="000A2EB9">
        <w:rPr>
          <w:bCs/>
          <w:lang w:val="es-ES"/>
        </w:rPr>
        <w:t xml:space="preserve">, </w:t>
      </w:r>
      <w:r w:rsidRPr="000A2EB9">
        <w:rPr>
          <w:bCs/>
          <w:lang w:val="es-ES"/>
        </w:rPr>
        <w:t>tanto más cuanto que la</w:t>
      </w:r>
      <w:r w:rsidR="00334F85" w:rsidRPr="000A2EB9">
        <w:rPr>
          <w:bCs/>
          <w:lang w:val="es-ES"/>
        </w:rPr>
        <w:t xml:space="preserve"> </w:t>
      </w:r>
      <w:r w:rsidRPr="000A2EB9">
        <w:rPr>
          <w:bCs/>
          <w:lang w:val="es-ES"/>
        </w:rPr>
        <w:t>información y los archivos que podrían servir de elemento de</w:t>
      </w:r>
      <w:r w:rsidR="00334F85" w:rsidRPr="000A2EB9">
        <w:rPr>
          <w:bCs/>
          <w:lang w:val="es-ES"/>
        </w:rPr>
        <w:t xml:space="preserve"> </w:t>
      </w:r>
      <w:r w:rsidRPr="000A2EB9">
        <w:rPr>
          <w:bCs/>
          <w:lang w:val="es-ES"/>
        </w:rPr>
        <w:t>prueba están la mayor parte de las veces en manos de la persona a</w:t>
      </w:r>
      <w:r w:rsidR="00334F85" w:rsidRPr="000A2EB9">
        <w:rPr>
          <w:bCs/>
          <w:lang w:val="es-ES"/>
        </w:rPr>
        <w:t xml:space="preserve"> </w:t>
      </w:r>
      <w:r w:rsidRPr="000A2EB9">
        <w:rPr>
          <w:bCs/>
          <w:lang w:val="es-ES"/>
        </w:rPr>
        <w:t>la que se dirige el reproche de discriminación</w:t>
      </w:r>
      <w:r w:rsidR="00334F85" w:rsidRPr="000A2EB9">
        <w:rPr>
          <w:bCs/>
          <w:lang w:val="es-ES"/>
        </w:rPr>
        <w:t>.</w:t>
      </w:r>
    </w:p>
    <w:p w14:paraId="5934AFD9" w14:textId="77777777" w:rsidR="00334F85" w:rsidRPr="000A2EB9" w:rsidRDefault="00334F85" w:rsidP="00334F85">
      <w:pPr>
        <w:spacing w:line="360" w:lineRule="auto"/>
        <w:ind w:firstLine="720"/>
        <w:jc w:val="both"/>
        <w:rPr>
          <w:bCs/>
          <w:lang w:val="es-ES"/>
        </w:rPr>
      </w:pPr>
      <w:r w:rsidRPr="000A2EB9">
        <w:rPr>
          <w:bCs/>
          <w:lang w:val="es-ES"/>
        </w:rPr>
        <w:t xml:space="preserve">Es decir que </w:t>
      </w:r>
      <w:r w:rsidR="00BD59BD" w:rsidRPr="000A2EB9">
        <w:rPr>
          <w:bCs/>
          <w:lang w:val="es-ES"/>
        </w:rPr>
        <w:t>la persona que aduce una</w:t>
      </w:r>
      <w:r w:rsidRPr="000A2EB9">
        <w:rPr>
          <w:bCs/>
          <w:lang w:val="es-ES"/>
        </w:rPr>
        <w:t xml:space="preserve"> </w:t>
      </w:r>
      <w:r w:rsidR="00BD59BD" w:rsidRPr="000A2EB9">
        <w:rPr>
          <w:bCs/>
          <w:lang w:val="es-ES"/>
        </w:rPr>
        <w:t>discriminación debe ante todo demostrar que una desigualdad de</w:t>
      </w:r>
      <w:r w:rsidRPr="000A2EB9">
        <w:rPr>
          <w:bCs/>
          <w:lang w:val="es-ES"/>
        </w:rPr>
        <w:t xml:space="preserve"> </w:t>
      </w:r>
      <w:r w:rsidR="00BD59BD" w:rsidRPr="000A2EB9">
        <w:rPr>
          <w:bCs/>
          <w:lang w:val="es-ES"/>
        </w:rPr>
        <w:t>trato o de oportunidades coincide con una desigualdad de raza,</w:t>
      </w:r>
      <w:r w:rsidRPr="000A2EB9">
        <w:rPr>
          <w:bCs/>
          <w:lang w:val="es-ES"/>
        </w:rPr>
        <w:t xml:space="preserve"> </w:t>
      </w:r>
      <w:r w:rsidR="00BD59BD" w:rsidRPr="000A2EB9">
        <w:rPr>
          <w:bCs/>
          <w:lang w:val="es-ES"/>
        </w:rPr>
        <w:t xml:space="preserve">sexo, religión, opinión política, actividad sindical, etc. </w:t>
      </w:r>
      <w:r w:rsidRPr="000A2EB9">
        <w:rPr>
          <w:bCs/>
          <w:lang w:val="es-ES"/>
        </w:rPr>
        <w:t xml:space="preserve">y, si ello </w:t>
      </w:r>
      <w:r w:rsidR="00BD59BD" w:rsidRPr="000A2EB9">
        <w:rPr>
          <w:bCs/>
          <w:lang w:val="es-ES"/>
        </w:rPr>
        <w:t xml:space="preserve">se demuestra, </w:t>
      </w:r>
      <w:r w:rsidRPr="000A2EB9">
        <w:rPr>
          <w:bCs/>
          <w:lang w:val="es-ES"/>
        </w:rPr>
        <w:t xml:space="preserve">seguidamente </w:t>
      </w:r>
      <w:r w:rsidR="00BD59BD" w:rsidRPr="000A2EB9">
        <w:rPr>
          <w:bCs/>
          <w:lang w:val="es-ES"/>
        </w:rPr>
        <w:t>la carga de la prueba será de la incumbencia</w:t>
      </w:r>
      <w:r w:rsidRPr="000A2EB9">
        <w:rPr>
          <w:bCs/>
          <w:lang w:val="es-ES"/>
        </w:rPr>
        <w:t xml:space="preserve"> </w:t>
      </w:r>
      <w:r w:rsidR="00BD59BD" w:rsidRPr="000A2EB9">
        <w:rPr>
          <w:bCs/>
          <w:lang w:val="es-ES"/>
        </w:rPr>
        <w:t>del empleador, que habrá de demostrar que había un motivo</w:t>
      </w:r>
      <w:r w:rsidRPr="000A2EB9">
        <w:rPr>
          <w:bCs/>
          <w:lang w:val="es-ES"/>
        </w:rPr>
        <w:t xml:space="preserve"> </w:t>
      </w:r>
      <w:r w:rsidR="00BD59BD" w:rsidRPr="000A2EB9">
        <w:rPr>
          <w:bCs/>
          <w:lang w:val="es-ES"/>
        </w:rPr>
        <w:t>legítimo, no discriminatorio</w:t>
      </w:r>
      <w:r w:rsidRPr="000A2EB9">
        <w:rPr>
          <w:bCs/>
          <w:lang w:val="es-ES"/>
        </w:rPr>
        <w:t>.</w:t>
      </w:r>
    </w:p>
    <w:p w14:paraId="04AC4D0D" w14:textId="45FA6088" w:rsidR="00BD59BD" w:rsidRPr="000A2EB9" w:rsidRDefault="00334F85" w:rsidP="00334F85">
      <w:pPr>
        <w:spacing w:line="360" w:lineRule="auto"/>
        <w:ind w:firstLine="720"/>
        <w:jc w:val="both"/>
        <w:rPr>
          <w:bCs/>
          <w:lang w:val="es-ES"/>
        </w:rPr>
      </w:pPr>
      <w:r w:rsidRPr="000A2EB9">
        <w:rPr>
          <w:bCs/>
          <w:lang w:val="es-ES"/>
        </w:rPr>
        <w:t xml:space="preserve">En virtud de estas </w:t>
      </w:r>
      <w:r w:rsidR="00BD59BD" w:rsidRPr="000A2EB9">
        <w:rPr>
          <w:bCs/>
          <w:lang w:val="es-ES"/>
        </w:rPr>
        <w:t>consideraciones</w:t>
      </w:r>
      <w:r w:rsidRPr="000A2EB9">
        <w:rPr>
          <w:bCs/>
          <w:lang w:val="es-ES"/>
        </w:rPr>
        <w:t xml:space="preserve"> queda claro, para el Máximo Tribunal, la  </w:t>
      </w:r>
      <w:r w:rsidR="00BD59BD" w:rsidRPr="000A2EB9">
        <w:rPr>
          <w:bCs/>
          <w:lang w:val="es-ES"/>
        </w:rPr>
        <w:t>necesidad de que el diseño y las modalidades con que han de ser</w:t>
      </w:r>
      <w:r w:rsidRPr="000A2EB9">
        <w:rPr>
          <w:bCs/>
          <w:lang w:val="es-ES"/>
        </w:rPr>
        <w:t xml:space="preserve"> </w:t>
      </w:r>
      <w:r w:rsidR="00BD59BD" w:rsidRPr="000A2EB9">
        <w:rPr>
          <w:bCs/>
          <w:lang w:val="es-ES"/>
        </w:rPr>
        <w:t>reguladas las garantías, su interpretación y</w:t>
      </w:r>
      <w:r w:rsidRPr="000A2EB9">
        <w:rPr>
          <w:bCs/>
          <w:lang w:val="es-ES"/>
        </w:rPr>
        <w:t xml:space="preserve"> </w:t>
      </w:r>
      <w:r w:rsidR="00BD59BD" w:rsidRPr="000A2EB9">
        <w:rPr>
          <w:bCs/>
          <w:lang w:val="es-ES"/>
        </w:rPr>
        <w:t>aplicación deben atender y adecuarse a las exigencias de</w:t>
      </w:r>
      <w:r w:rsidRPr="000A2EB9">
        <w:rPr>
          <w:bCs/>
          <w:lang w:val="es-ES"/>
        </w:rPr>
        <w:t xml:space="preserve"> </w:t>
      </w:r>
      <w:r w:rsidR="00BD59BD" w:rsidRPr="000A2EB9">
        <w:rPr>
          <w:bCs/>
          <w:lang w:val="es-ES"/>
        </w:rPr>
        <w:t>pro</w:t>
      </w:r>
      <w:r w:rsidR="00BD59BD" w:rsidRPr="000A2EB9">
        <w:rPr>
          <w:bCs/>
          <w:lang w:val="es-ES"/>
        </w:rPr>
        <w:lastRenderedPageBreak/>
        <w:t>tección efectiva que específicamente formule cada uno de los</w:t>
      </w:r>
      <w:r w:rsidRPr="000A2EB9">
        <w:rPr>
          <w:bCs/>
          <w:lang w:val="es-ES"/>
        </w:rPr>
        <w:t xml:space="preserve"> </w:t>
      </w:r>
      <w:r w:rsidR="00BD59BD" w:rsidRPr="000A2EB9">
        <w:rPr>
          <w:bCs/>
          <w:lang w:val="es-ES"/>
        </w:rPr>
        <w:t>derechos humanos,</w:t>
      </w:r>
      <w:r w:rsidRPr="000A2EB9">
        <w:rPr>
          <w:bCs/>
          <w:lang w:val="es-ES"/>
        </w:rPr>
        <w:t xml:space="preserve"> conforme su naturaleza </w:t>
      </w:r>
      <w:r w:rsidR="00BD59BD" w:rsidRPr="000A2EB9">
        <w:rPr>
          <w:bCs/>
          <w:lang w:val="es-ES"/>
        </w:rPr>
        <w:t>y de la concreta realidad que los rodea, siempre</w:t>
      </w:r>
      <w:r w:rsidRPr="000A2EB9">
        <w:rPr>
          <w:bCs/>
          <w:lang w:val="es-ES"/>
        </w:rPr>
        <w:t xml:space="preserve"> </w:t>
      </w:r>
      <w:r w:rsidR="00BD59BD" w:rsidRPr="000A2EB9">
        <w:rPr>
          <w:bCs/>
          <w:lang w:val="es-ES"/>
        </w:rPr>
        <w:t>dentro del respeto de los postulados del debido proceso.</w:t>
      </w:r>
    </w:p>
    <w:p w14:paraId="493C4E85" w14:textId="77B5D583" w:rsidR="00BD59BD" w:rsidRPr="000A2EB9" w:rsidRDefault="00334F85" w:rsidP="00334F85">
      <w:pPr>
        <w:spacing w:line="360" w:lineRule="auto"/>
        <w:ind w:firstLine="720"/>
        <w:jc w:val="both"/>
        <w:rPr>
          <w:bCs/>
          <w:lang w:val="es-ES"/>
        </w:rPr>
      </w:pPr>
      <w:r w:rsidRPr="000A2EB9">
        <w:rPr>
          <w:bCs/>
          <w:lang w:val="es-ES"/>
        </w:rPr>
        <w:t xml:space="preserve">Por ende, para el Máximo Tribunal argentino, </w:t>
      </w:r>
      <w:r w:rsidR="00BD59BD" w:rsidRPr="000A2EB9">
        <w:rPr>
          <w:bCs/>
          <w:lang w:val="es-ES"/>
        </w:rPr>
        <w:t>resultará suficiente, para</w:t>
      </w:r>
      <w:r w:rsidRPr="000A2EB9">
        <w:rPr>
          <w:bCs/>
          <w:lang w:val="es-ES"/>
        </w:rPr>
        <w:t xml:space="preserve"> </w:t>
      </w:r>
      <w:r w:rsidR="00BD59BD" w:rsidRPr="000A2EB9">
        <w:rPr>
          <w:bCs/>
          <w:lang w:val="es-ES"/>
        </w:rPr>
        <w:t xml:space="preserve">la parte que afirma </w:t>
      </w:r>
      <w:r w:rsidRPr="000A2EB9">
        <w:rPr>
          <w:bCs/>
          <w:lang w:val="es-ES"/>
        </w:rPr>
        <w:t>un</w:t>
      </w:r>
      <w:r w:rsidR="00BD59BD" w:rsidRPr="000A2EB9">
        <w:rPr>
          <w:bCs/>
          <w:lang w:val="es-ES"/>
        </w:rPr>
        <w:t xml:space="preserve"> motivo</w:t>
      </w:r>
      <w:r w:rsidRPr="000A2EB9">
        <w:rPr>
          <w:bCs/>
          <w:lang w:val="es-ES"/>
        </w:rPr>
        <w:t xml:space="preserve"> discriminatorio</w:t>
      </w:r>
      <w:r w:rsidR="00BD59BD" w:rsidRPr="000A2EB9">
        <w:rPr>
          <w:bCs/>
          <w:lang w:val="es-ES"/>
        </w:rPr>
        <w:t>, con la acreditación de hechos</w:t>
      </w:r>
      <w:r w:rsidRPr="000A2EB9">
        <w:rPr>
          <w:bCs/>
          <w:lang w:val="es-ES"/>
        </w:rPr>
        <w:t xml:space="preserve"> </w:t>
      </w:r>
      <w:r w:rsidR="00BD59BD" w:rsidRPr="000A2EB9">
        <w:rPr>
          <w:bCs/>
          <w:lang w:val="es-ES"/>
        </w:rPr>
        <w:t>que, prima facie evaluados, resulten idóneos para inducir su</w:t>
      </w:r>
      <w:r w:rsidRPr="000A2EB9">
        <w:rPr>
          <w:bCs/>
          <w:lang w:val="es-ES"/>
        </w:rPr>
        <w:t xml:space="preserve"> </w:t>
      </w:r>
      <w:r w:rsidR="00BD59BD" w:rsidRPr="000A2EB9">
        <w:rPr>
          <w:bCs/>
          <w:lang w:val="es-ES"/>
        </w:rPr>
        <w:t>existencia, caso en el cual corresponderá al demandado</w:t>
      </w:r>
      <w:r w:rsidR="009E1965" w:rsidRPr="000A2EB9">
        <w:rPr>
          <w:bCs/>
          <w:lang w:val="es-ES"/>
        </w:rPr>
        <w:t>,</w:t>
      </w:r>
      <w:r w:rsidR="00BD59BD" w:rsidRPr="000A2EB9">
        <w:rPr>
          <w:bCs/>
          <w:lang w:val="es-ES"/>
        </w:rPr>
        <w:t xml:space="preserve"> a quien se</w:t>
      </w:r>
      <w:r w:rsidRPr="000A2EB9">
        <w:rPr>
          <w:bCs/>
          <w:lang w:val="es-ES"/>
        </w:rPr>
        <w:t xml:space="preserve"> </w:t>
      </w:r>
      <w:r w:rsidR="00BD59BD" w:rsidRPr="000A2EB9">
        <w:rPr>
          <w:bCs/>
          <w:lang w:val="es-ES"/>
        </w:rPr>
        <w:t>reprocha la comisión del trato impugnado, la prueba de que éste</w:t>
      </w:r>
      <w:r w:rsidRPr="000A2EB9">
        <w:rPr>
          <w:bCs/>
          <w:lang w:val="es-ES"/>
        </w:rPr>
        <w:t xml:space="preserve"> </w:t>
      </w:r>
      <w:r w:rsidR="00BD59BD" w:rsidRPr="000A2EB9">
        <w:rPr>
          <w:bCs/>
          <w:lang w:val="es-ES"/>
        </w:rPr>
        <w:t>tuvo como causa un motivo objetivo y razonable ajeno a toda</w:t>
      </w:r>
      <w:r w:rsidRPr="000A2EB9">
        <w:rPr>
          <w:bCs/>
          <w:lang w:val="es-ES"/>
        </w:rPr>
        <w:t xml:space="preserve"> </w:t>
      </w:r>
      <w:r w:rsidR="00BD59BD" w:rsidRPr="000A2EB9">
        <w:rPr>
          <w:bCs/>
          <w:lang w:val="es-ES"/>
        </w:rPr>
        <w:t>discriminación</w:t>
      </w:r>
      <w:r w:rsidR="009E1965" w:rsidRPr="000A2EB9">
        <w:rPr>
          <w:bCs/>
          <w:lang w:val="es-ES"/>
        </w:rPr>
        <w:t>.</w:t>
      </w:r>
      <w:r w:rsidRPr="000A2EB9">
        <w:rPr>
          <w:bCs/>
          <w:lang w:val="es-ES"/>
        </w:rPr>
        <w:t xml:space="preserve"> </w:t>
      </w:r>
    </w:p>
    <w:p w14:paraId="04737BD2" w14:textId="7C0A95FB" w:rsidR="00BD59BD" w:rsidRPr="000A2EB9" w:rsidRDefault="00336823" w:rsidP="00336823">
      <w:pPr>
        <w:spacing w:line="360" w:lineRule="auto"/>
        <w:ind w:firstLine="720"/>
        <w:jc w:val="both"/>
        <w:rPr>
          <w:bCs/>
          <w:lang w:val="es-ES"/>
        </w:rPr>
      </w:pPr>
      <w:r w:rsidRPr="000A2EB9">
        <w:rPr>
          <w:bCs/>
          <w:lang w:val="es-ES"/>
        </w:rPr>
        <w:t>A</w:t>
      </w:r>
      <w:r w:rsidR="009E1965" w:rsidRPr="000A2EB9">
        <w:rPr>
          <w:bCs/>
          <w:lang w:val="es-ES"/>
        </w:rPr>
        <w:t>ñadi</w:t>
      </w:r>
      <w:r w:rsidRPr="000A2EB9">
        <w:rPr>
          <w:bCs/>
          <w:lang w:val="es-ES"/>
        </w:rPr>
        <w:t xml:space="preserve">ó, no obstante, la Corte Suprema que esta doctrina </w:t>
      </w:r>
      <w:r w:rsidR="00BD59BD" w:rsidRPr="000A2EB9">
        <w:rPr>
          <w:bCs/>
          <w:lang w:val="es-ES"/>
        </w:rPr>
        <w:t>no</w:t>
      </w:r>
      <w:r w:rsidRPr="000A2EB9">
        <w:rPr>
          <w:bCs/>
          <w:lang w:val="es-ES"/>
        </w:rPr>
        <w:t xml:space="preserve"> </w:t>
      </w:r>
      <w:r w:rsidR="00BD59BD" w:rsidRPr="000A2EB9">
        <w:rPr>
          <w:bCs/>
          <w:lang w:val="es-ES"/>
        </w:rPr>
        <w:t>supone la eximición de prueba a la parte que tilda de</w:t>
      </w:r>
      <w:r w:rsidRPr="000A2EB9">
        <w:rPr>
          <w:bCs/>
          <w:lang w:val="es-ES"/>
        </w:rPr>
        <w:t xml:space="preserve"> </w:t>
      </w:r>
      <w:r w:rsidR="00BD59BD" w:rsidRPr="000A2EB9">
        <w:rPr>
          <w:bCs/>
          <w:lang w:val="es-ES"/>
        </w:rPr>
        <w:t>discriminatorio un acto pues, de ser esto controvertido, pesa</w:t>
      </w:r>
      <w:r w:rsidRPr="000A2EB9">
        <w:rPr>
          <w:bCs/>
          <w:lang w:val="es-ES"/>
        </w:rPr>
        <w:t xml:space="preserve"> </w:t>
      </w:r>
      <w:r w:rsidR="00BD59BD" w:rsidRPr="000A2EB9">
        <w:rPr>
          <w:bCs/>
          <w:lang w:val="es-ES"/>
        </w:rPr>
        <w:t>sobre aquélla la carga de acreditar los hechos de los que</w:t>
      </w:r>
      <w:r w:rsidRPr="000A2EB9">
        <w:rPr>
          <w:bCs/>
          <w:lang w:val="es-ES"/>
        </w:rPr>
        <w:t xml:space="preserve"> </w:t>
      </w:r>
      <w:r w:rsidR="00BD59BD" w:rsidRPr="000A2EB9">
        <w:rPr>
          <w:bCs/>
          <w:lang w:val="es-ES"/>
        </w:rPr>
        <w:t>verosímilmente se siga la configuración del motivo debatido</w:t>
      </w:r>
      <w:r w:rsidRPr="000A2EB9">
        <w:rPr>
          <w:bCs/>
          <w:lang w:val="es-ES"/>
        </w:rPr>
        <w:t>; así como tampoco implica</w:t>
      </w:r>
      <w:r w:rsidR="00BD59BD" w:rsidRPr="000A2EB9">
        <w:rPr>
          <w:bCs/>
          <w:lang w:val="es-ES"/>
        </w:rPr>
        <w:t>, de producirse esa convicción, una inversión de</w:t>
      </w:r>
      <w:r w:rsidRPr="000A2EB9">
        <w:rPr>
          <w:bCs/>
          <w:lang w:val="es-ES"/>
        </w:rPr>
        <w:t xml:space="preserve"> </w:t>
      </w:r>
      <w:r w:rsidR="00BD59BD" w:rsidRPr="000A2EB9">
        <w:rPr>
          <w:bCs/>
          <w:lang w:val="es-ES"/>
        </w:rPr>
        <w:t>la carga probatoria ya que, ciertamente, en este supuesto, al</w:t>
      </w:r>
      <w:r w:rsidRPr="000A2EB9">
        <w:rPr>
          <w:bCs/>
          <w:lang w:val="es-ES"/>
        </w:rPr>
        <w:t xml:space="preserve"> </w:t>
      </w:r>
      <w:r w:rsidR="00BD59BD" w:rsidRPr="000A2EB9">
        <w:rPr>
          <w:bCs/>
          <w:lang w:val="es-ES"/>
        </w:rPr>
        <w:t>demandado le corresponderá probar el hecho que justifique</w:t>
      </w:r>
      <w:r w:rsidRPr="000A2EB9">
        <w:rPr>
          <w:bCs/>
          <w:lang w:val="es-ES"/>
        </w:rPr>
        <w:t xml:space="preserve"> </w:t>
      </w:r>
      <w:r w:rsidR="00BD59BD" w:rsidRPr="000A2EB9">
        <w:rPr>
          <w:bCs/>
          <w:lang w:val="es-ES"/>
        </w:rPr>
        <w:t>descartar el prima facie acreditado.</w:t>
      </w:r>
    </w:p>
    <w:p w14:paraId="32574BA9" w14:textId="1C906434" w:rsidR="00156D56" w:rsidRPr="000A2EB9" w:rsidRDefault="00322E74" w:rsidP="00BD59BD">
      <w:pPr>
        <w:spacing w:line="360" w:lineRule="auto"/>
        <w:jc w:val="both"/>
        <w:rPr>
          <w:bCs/>
          <w:lang w:val="es-ES"/>
        </w:rPr>
      </w:pPr>
      <w:r w:rsidRPr="000A2EB9">
        <w:rPr>
          <w:bCs/>
          <w:lang w:val="es-ES"/>
        </w:rPr>
        <w:tab/>
      </w:r>
      <w:r w:rsidR="00156D56" w:rsidRPr="000A2EB9">
        <w:rPr>
          <w:bCs/>
          <w:lang w:val="es-ES"/>
        </w:rPr>
        <w:t>Tras sentar esta novedosa doctrina, en “Pellícori” la Corte dejó sin efecto la sentencia dictada por la Cámara y ordenó que se dicte una nueva en la que los hechos se evalúen conforme tal criterio adjetivo, sin entrar en la cuestión de los alcances de la eventual nulidad del despido tratada en “Álvarez”.</w:t>
      </w:r>
    </w:p>
    <w:p w14:paraId="64E57507" w14:textId="1170A7F6" w:rsidR="00FA573C" w:rsidRPr="000A2EB9" w:rsidRDefault="00FC6286" w:rsidP="00FC6286">
      <w:pPr>
        <w:spacing w:line="360" w:lineRule="auto"/>
        <w:jc w:val="both"/>
        <w:rPr>
          <w:bCs/>
          <w:lang w:val="es-ES"/>
        </w:rPr>
      </w:pPr>
      <w:r w:rsidRPr="000A2EB9">
        <w:rPr>
          <w:bCs/>
          <w:lang w:val="es-ES"/>
        </w:rPr>
        <w:tab/>
      </w:r>
      <w:r w:rsidR="00755BD6" w:rsidRPr="000A2EB9">
        <w:rPr>
          <w:bCs/>
          <w:lang w:val="es-ES"/>
        </w:rPr>
        <w:t xml:space="preserve">En la causa </w:t>
      </w:r>
      <w:r w:rsidR="00755BD6" w:rsidRPr="000A2EB9">
        <w:rPr>
          <w:b/>
          <w:lang w:val="es-ES"/>
        </w:rPr>
        <w:t>“</w:t>
      </w:r>
      <w:r w:rsidRPr="000A2EB9">
        <w:rPr>
          <w:b/>
          <w:lang w:val="es-ES"/>
        </w:rPr>
        <w:t>Sisnero, Mirtha Graciela y otros c/ Taldelva SRL y otros</w:t>
      </w:r>
      <w:r w:rsidR="00755BD6" w:rsidRPr="000A2EB9">
        <w:rPr>
          <w:b/>
          <w:lang w:val="es-ES"/>
        </w:rPr>
        <w:t>”</w:t>
      </w:r>
      <w:r w:rsidR="00755BD6" w:rsidRPr="000A2EB9">
        <w:rPr>
          <w:bCs/>
          <w:lang w:val="es-ES"/>
        </w:rPr>
        <w:t xml:space="preserve">, sentenciada el </w:t>
      </w:r>
      <w:r w:rsidRPr="000A2EB9">
        <w:rPr>
          <w:bCs/>
          <w:lang w:val="es-ES"/>
        </w:rPr>
        <w:t>20/05/2014</w:t>
      </w:r>
      <w:r w:rsidR="00755BD6" w:rsidRPr="000A2EB9">
        <w:rPr>
          <w:bCs/>
          <w:lang w:val="es-ES"/>
        </w:rPr>
        <w:t xml:space="preserve">, </w:t>
      </w:r>
      <w:r w:rsidR="00156D56" w:rsidRPr="000A2EB9">
        <w:rPr>
          <w:bCs/>
          <w:lang w:val="es-ES"/>
        </w:rPr>
        <w:t>el Alto Tribunal argentino ratificó ese criterio procesal con la firma de los jueces</w:t>
      </w:r>
      <w:r w:rsidRPr="000A2EB9">
        <w:rPr>
          <w:bCs/>
          <w:lang w:val="es-ES"/>
        </w:rPr>
        <w:t xml:space="preserve"> Fayt, Petracchi y Maqueda</w:t>
      </w:r>
      <w:r w:rsidR="00FA573C" w:rsidRPr="000A2EB9">
        <w:rPr>
          <w:bCs/>
          <w:lang w:val="es-ES"/>
        </w:rPr>
        <w:t>, pero también con el acompañamiento de los ministros Highton y Lorenzetti, que no habían votado en “Pellicori”.</w:t>
      </w:r>
    </w:p>
    <w:p w14:paraId="1B7439DF" w14:textId="55CC0C30" w:rsidR="00ED050C" w:rsidRPr="000A2EB9" w:rsidRDefault="00FA573C" w:rsidP="00ED050C">
      <w:pPr>
        <w:spacing w:line="360" w:lineRule="auto"/>
        <w:jc w:val="both"/>
        <w:rPr>
          <w:bCs/>
          <w:lang w:val="es-ES"/>
        </w:rPr>
      </w:pPr>
      <w:r w:rsidRPr="000A2EB9">
        <w:rPr>
          <w:bCs/>
          <w:lang w:val="es-ES"/>
        </w:rPr>
        <w:tab/>
        <w:t xml:space="preserve"> </w:t>
      </w:r>
      <w:r w:rsidR="00ED050C" w:rsidRPr="000A2EB9">
        <w:rPr>
          <w:bCs/>
          <w:lang w:val="es-ES"/>
        </w:rPr>
        <w:t xml:space="preserve">En este interesante caso la coactora Mirtha Graciela Sisnero y la Fundación Entre Mujeres (FEM) </w:t>
      </w:r>
      <w:r w:rsidR="009E1965" w:rsidRPr="000A2EB9">
        <w:rPr>
          <w:bCs/>
          <w:lang w:val="es-ES"/>
        </w:rPr>
        <w:t>habían deducido</w:t>
      </w:r>
      <w:r w:rsidR="00ED050C" w:rsidRPr="000A2EB9">
        <w:rPr>
          <w:bCs/>
          <w:lang w:val="es-ES"/>
        </w:rPr>
        <w:t xml:space="preserve"> una acción de amparo colectivo contra la Sociedad Anónima del Estado de Transporte Automotor (SAETA), la Autoridad Metropolitana de Transporte (AM1) y las siete empresas operadoras de SAETA que tienen a su cargo los ocho corredores de! transporte público urbano de pasajeros en la ciudad de Salta. La Sra. Sisnero, en su pretensión individual, alegó que se ha</w:t>
      </w:r>
      <w:r w:rsidR="009E1965" w:rsidRPr="000A2EB9">
        <w:rPr>
          <w:bCs/>
          <w:lang w:val="es-ES"/>
        </w:rPr>
        <w:t>bía</w:t>
      </w:r>
      <w:r w:rsidR="00ED050C" w:rsidRPr="000A2EB9">
        <w:rPr>
          <w:bCs/>
          <w:lang w:val="es-ES"/>
        </w:rPr>
        <w:t xml:space="preserve"> violado su derecho a la igualdad y a no sufrir discriminación en razón de su género ya que se le impidió la posibilidad de acceder a un puesto de trabajo como conductora de una unidad de las empresas codemandadas, pese a haber cumplido con todos los requisitos de idoneidad requeridos para dicho puesto; mientras que la acción colectiva coadyuvó a tal petición indicando que se advierte una violación a la igualdad y a la prohibición de trato discriminatorio que se traduce en la falta de contratación de choferes mujeres en el transporte público de pasajeros por parte de las empresas operadoras de SAETA. </w:t>
      </w:r>
    </w:p>
    <w:p w14:paraId="2A95B7D8" w14:textId="0FD7C9E3" w:rsidR="00ED050C" w:rsidRPr="000A2EB9" w:rsidRDefault="00ED050C" w:rsidP="00ED050C">
      <w:pPr>
        <w:spacing w:line="360" w:lineRule="auto"/>
        <w:jc w:val="both"/>
        <w:rPr>
          <w:bCs/>
          <w:lang w:val="es-ES"/>
        </w:rPr>
      </w:pPr>
      <w:r w:rsidRPr="000A2EB9">
        <w:rPr>
          <w:bCs/>
          <w:lang w:val="es-ES"/>
        </w:rPr>
        <w:tab/>
        <w:t xml:space="preserve">El Superior Tribunal de Salta consideró improcedentes tales pretensiones, revocando la decisión de la Cámara respectiva, ya que, aunque dijo identificar </w:t>
      </w:r>
      <w:r w:rsidR="009E1965" w:rsidRPr="000A2EB9">
        <w:rPr>
          <w:bCs/>
          <w:lang w:val="es-ES"/>
        </w:rPr>
        <w:t>“</w:t>
      </w:r>
      <w:r w:rsidRPr="000A2EB9">
        <w:rPr>
          <w:bCs/>
          <w:lang w:val="es-ES"/>
        </w:rPr>
        <w:t>síntomas discriminatorios en la sociedad</w:t>
      </w:r>
      <w:r w:rsidR="009E1965" w:rsidRPr="000A2EB9">
        <w:rPr>
          <w:bCs/>
          <w:lang w:val="es-ES"/>
        </w:rPr>
        <w:t>”</w:t>
      </w:r>
      <w:r w:rsidRPr="000A2EB9">
        <w:rPr>
          <w:bCs/>
          <w:lang w:val="es-ES"/>
        </w:rPr>
        <w:t xml:space="preserve"> y que "basta detenerse en cualquier parada de colectivos para relevar la nula presencia de mujeres conduciendo estos móviles"</w:t>
      </w:r>
      <w:r w:rsidR="00435135" w:rsidRPr="000A2EB9">
        <w:rPr>
          <w:bCs/>
          <w:lang w:val="es-ES"/>
        </w:rPr>
        <w:t xml:space="preserve">, entendió que </w:t>
      </w:r>
      <w:r w:rsidRPr="000A2EB9">
        <w:rPr>
          <w:bCs/>
          <w:lang w:val="es-ES"/>
        </w:rPr>
        <w:t xml:space="preserve"> "no se configuró el presupuesto para que prospere el pedido de una orden de cese </w:t>
      </w:r>
      <w:r w:rsidRPr="000A2EB9">
        <w:rPr>
          <w:bCs/>
          <w:lang w:val="es-ES"/>
        </w:rPr>
        <w:lastRenderedPageBreak/>
        <w:t>de discriminación"</w:t>
      </w:r>
      <w:r w:rsidR="00435135" w:rsidRPr="000A2EB9">
        <w:rPr>
          <w:bCs/>
          <w:lang w:val="es-ES"/>
        </w:rPr>
        <w:t xml:space="preserve">, remarcando que, </w:t>
      </w:r>
      <w:r w:rsidRPr="000A2EB9">
        <w:rPr>
          <w:bCs/>
          <w:lang w:val="es-ES"/>
        </w:rPr>
        <w:t>para tener por configurado un caso de discriminación, la señora Sisnero debió acreditar que contaba con la idoneidad requerida para cubrir el puesto laboral pretendido y que, en igualdad de condiciones, las empresas demandadas habían preferido a otro postulante por el mero hecho de ser hombre</w:t>
      </w:r>
      <w:r w:rsidR="00435135" w:rsidRPr="000A2EB9">
        <w:rPr>
          <w:bCs/>
          <w:lang w:val="es-ES"/>
        </w:rPr>
        <w:t>.</w:t>
      </w:r>
    </w:p>
    <w:p w14:paraId="631E1D7E" w14:textId="50704F9F" w:rsidR="00435135" w:rsidRPr="000A2EB9" w:rsidRDefault="00435135" w:rsidP="00FC6286">
      <w:pPr>
        <w:spacing w:line="360" w:lineRule="auto"/>
        <w:jc w:val="both"/>
        <w:rPr>
          <w:bCs/>
          <w:lang w:val="es-ES"/>
        </w:rPr>
      </w:pPr>
      <w:r w:rsidRPr="000A2EB9">
        <w:rPr>
          <w:bCs/>
          <w:lang w:val="es-ES"/>
        </w:rPr>
        <w:tab/>
        <w:t>La Corte Suprema comenzó recordando que la discriminación no suele manifestarse de forma abierta y claramente identificable y que, por ello, su prueba con frecuencia result</w:t>
      </w:r>
      <w:r w:rsidR="004E0712" w:rsidRPr="000A2EB9">
        <w:rPr>
          <w:bCs/>
          <w:lang w:val="es-ES"/>
        </w:rPr>
        <w:t>a</w:t>
      </w:r>
      <w:r w:rsidRPr="000A2EB9">
        <w:rPr>
          <w:bCs/>
          <w:lang w:val="es-ES"/>
        </w:rPr>
        <w:t xml:space="preserve"> compleja puesto que habitualmente la discriminación consiste en una acción más presunta que patente y difícil de demostrar ya que normalmente el motivo subyacente a la diferencia de trato está en la mente de su autor, así como que "la información y los archivos que podrían servir de elementos de prueba están, la mayor parte de las veces, en manos de la persona a la que se dirige el reproche de discriminación".</w:t>
      </w:r>
    </w:p>
    <w:p w14:paraId="6D40FEA2" w14:textId="77777777" w:rsidR="004E0712" w:rsidRPr="000A2EB9" w:rsidRDefault="00435135" w:rsidP="00FC6286">
      <w:pPr>
        <w:spacing w:line="360" w:lineRule="auto"/>
        <w:jc w:val="both"/>
        <w:rPr>
          <w:bCs/>
          <w:lang w:val="es-ES"/>
        </w:rPr>
      </w:pPr>
      <w:r w:rsidRPr="000A2EB9">
        <w:rPr>
          <w:bCs/>
          <w:lang w:val="es-ES"/>
        </w:rPr>
        <w:tab/>
        <w:t>Seguidamente dicha decisión destacó que, precisamente para compensar estas dificultades, en el precedente “Pellicori” se ha elaborado el standard probatorio aplicable a estas situaciones, según el cual para la parte que invoca un acto discriminatorio es suficiente con "</w:t>
      </w:r>
      <w:r w:rsidRPr="000A2EB9">
        <w:rPr>
          <w:bCs/>
          <w:i/>
          <w:iCs/>
          <w:lang w:val="es-ES"/>
        </w:rPr>
        <w:t>la acreditación de hechos que, prima facie evaluados, resulten idóneos para inducir su existencia, caso en el cual corresponderá al demandado, a quien se reprocha la comisión del trato impugnado, la prueba de que éste tuvo como causa un motivo objetivo y razonable ajeno a toda discriminación"</w:t>
      </w:r>
      <w:r w:rsidRPr="000A2EB9">
        <w:rPr>
          <w:bCs/>
          <w:lang w:val="es-ES"/>
        </w:rPr>
        <w:t xml:space="preserve">. </w:t>
      </w:r>
    </w:p>
    <w:p w14:paraId="4DB4A30E" w14:textId="410559A2" w:rsidR="00435135" w:rsidRPr="000A2EB9" w:rsidRDefault="004E0712" w:rsidP="00FC6286">
      <w:pPr>
        <w:spacing w:line="360" w:lineRule="auto"/>
        <w:jc w:val="both"/>
        <w:rPr>
          <w:bCs/>
          <w:lang w:val="es-ES"/>
        </w:rPr>
      </w:pPr>
      <w:r w:rsidRPr="000A2EB9">
        <w:rPr>
          <w:bCs/>
          <w:lang w:val="es-ES"/>
        </w:rPr>
        <w:t xml:space="preserve"> </w:t>
      </w:r>
      <w:r w:rsidRPr="000A2EB9">
        <w:rPr>
          <w:bCs/>
          <w:lang w:val="es-ES"/>
        </w:rPr>
        <w:tab/>
      </w:r>
      <w:r w:rsidR="00435135" w:rsidRPr="000A2EB9">
        <w:rPr>
          <w:bCs/>
          <w:lang w:val="es-ES"/>
        </w:rPr>
        <w:t>En base a esa regla judicial, resumió la Corte, si el reclamante puede acreditar la existencia de hechos de los que pueda presumirse su carácter discriminatorio, corresponderá al demandado la prueba de su inexistencia.</w:t>
      </w:r>
    </w:p>
    <w:p w14:paraId="4FC7735E" w14:textId="4DBC36CD" w:rsidR="00435135" w:rsidRPr="000A2EB9" w:rsidRDefault="00435135" w:rsidP="00435135">
      <w:pPr>
        <w:spacing w:line="360" w:lineRule="auto"/>
        <w:jc w:val="both"/>
        <w:rPr>
          <w:bCs/>
          <w:lang w:val="es-ES"/>
        </w:rPr>
      </w:pPr>
      <w:r w:rsidRPr="000A2EB9">
        <w:rPr>
          <w:bCs/>
          <w:lang w:val="es-ES"/>
        </w:rPr>
        <w:tab/>
        <w:t xml:space="preserve">En </w:t>
      </w:r>
      <w:r w:rsidR="004E0712" w:rsidRPr="000A2EB9">
        <w:rPr>
          <w:bCs/>
          <w:lang w:val="es-ES"/>
        </w:rPr>
        <w:t xml:space="preserve">el </w:t>
      </w:r>
      <w:r w:rsidRPr="000A2EB9">
        <w:rPr>
          <w:bCs/>
          <w:lang w:val="es-ES"/>
        </w:rPr>
        <w:t xml:space="preserve">caso examinado, la Corte Federal de </w:t>
      </w:r>
      <w:r w:rsidR="004E0712" w:rsidRPr="000A2EB9">
        <w:rPr>
          <w:bCs/>
          <w:lang w:val="es-ES"/>
        </w:rPr>
        <w:t xml:space="preserve">la República </w:t>
      </w:r>
      <w:r w:rsidRPr="000A2EB9">
        <w:rPr>
          <w:bCs/>
          <w:lang w:val="es-ES"/>
        </w:rPr>
        <w:t xml:space="preserve">Argentina consideró que, </w:t>
      </w:r>
      <w:r w:rsidR="004E0712" w:rsidRPr="000A2EB9">
        <w:rPr>
          <w:bCs/>
          <w:lang w:val="es-ES"/>
        </w:rPr>
        <w:t xml:space="preserve">para </w:t>
      </w:r>
      <w:r w:rsidRPr="000A2EB9">
        <w:rPr>
          <w:bCs/>
          <w:lang w:val="es-ES"/>
        </w:rPr>
        <w:t xml:space="preserve">concluir que no se había acreditado un acto discriminatorio, la sentencia del Superior Tribunal provincial no </w:t>
      </w:r>
      <w:r w:rsidR="004E0712" w:rsidRPr="000A2EB9">
        <w:rPr>
          <w:bCs/>
          <w:lang w:val="es-ES"/>
        </w:rPr>
        <w:t>había valorado</w:t>
      </w:r>
      <w:r w:rsidRPr="000A2EB9">
        <w:rPr>
          <w:bCs/>
          <w:lang w:val="es-ES"/>
        </w:rPr>
        <w:t xml:space="preserve"> adecuadamente la prueba obrante en el expediente ni t</w:t>
      </w:r>
      <w:r w:rsidR="004E0712" w:rsidRPr="000A2EB9">
        <w:rPr>
          <w:bCs/>
          <w:lang w:val="es-ES"/>
        </w:rPr>
        <w:t>enido</w:t>
      </w:r>
      <w:r w:rsidRPr="000A2EB9">
        <w:rPr>
          <w:bCs/>
          <w:lang w:val="es-ES"/>
        </w:rPr>
        <w:t xml:space="preserve"> en cuenta la señalada regla adjetiva y dio </w:t>
      </w:r>
      <w:r w:rsidR="004E0712" w:rsidRPr="000A2EB9">
        <w:rPr>
          <w:bCs/>
          <w:lang w:val="es-ES"/>
        </w:rPr>
        <w:t>mencionó que</w:t>
      </w:r>
      <w:r w:rsidRPr="000A2EB9">
        <w:rPr>
          <w:bCs/>
          <w:lang w:val="es-ES"/>
        </w:rPr>
        <w:t xml:space="preserve"> de las constancias de la causa resulta que se acreditaron diversos hechos conducentes y suficientes para configurar un caso </w:t>
      </w:r>
      <w:r w:rsidR="004E0712" w:rsidRPr="000A2EB9">
        <w:rPr>
          <w:bCs/>
          <w:lang w:val="es-ES"/>
        </w:rPr>
        <w:t>“</w:t>
      </w:r>
      <w:r w:rsidRPr="000A2EB9">
        <w:rPr>
          <w:bCs/>
          <w:lang w:val="es-ES"/>
        </w:rPr>
        <w:t>prima facie</w:t>
      </w:r>
      <w:r w:rsidR="004E0712" w:rsidRPr="000A2EB9">
        <w:rPr>
          <w:bCs/>
          <w:lang w:val="es-ES"/>
        </w:rPr>
        <w:t>”</w:t>
      </w:r>
      <w:r w:rsidRPr="000A2EB9">
        <w:rPr>
          <w:bCs/>
          <w:lang w:val="es-ES"/>
        </w:rPr>
        <w:t xml:space="preserve"> encuadrable en una situación discriminatoria</w:t>
      </w:r>
      <w:r w:rsidR="00535C46" w:rsidRPr="000A2EB9">
        <w:rPr>
          <w:bCs/>
          <w:lang w:val="es-ES"/>
        </w:rPr>
        <w:t>, suficiente en ese contexto.</w:t>
      </w:r>
    </w:p>
    <w:p w14:paraId="5FF6249D" w14:textId="30175ED7" w:rsidR="00435135" w:rsidRPr="000A2EB9" w:rsidRDefault="00535C46" w:rsidP="00FC6286">
      <w:pPr>
        <w:spacing w:line="360" w:lineRule="auto"/>
        <w:jc w:val="both"/>
        <w:rPr>
          <w:bCs/>
          <w:lang w:val="es-ES"/>
        </w:rPr>
      </w:pPr>
      <w:r w:rsidRPr="000A2EB9">
        <w:rPr>
          <w:bCs/>
          <w:lang w:val="es-ES"/>
        </w:rPr>
        <w:tab/>
        <w:t>Por eso, dicho decisorio concluyó que el fallo del Tribunal a quo no ha</w:t>
      </w:r>
      <w:r w:rsidR="004E0712" w:rsidRPr="000A2EB9">
        <w:rPr>
          <w:bCs/>
          <w:lang w:val="es-ES"/>
        </w:rPr>
        <w:t>bía</w:t>
      </w:r>
      <w:r w:rsidRPr="000A2EB9">
        <w:rPr>
          <w:bCs/>
          <w:lang w:val="es-ES"/>
        </w:rPr>
        <w:t xml:space="preserve"> respetado los criterios establecidos en materia de cargas probatorias para los casos de discriminación y</w:t>
      </w:r>
      <w:r w:rsidR="004E0712" w:rsidRPr="000A2EB9">
        <w:rPr>
          <w:bCs/>
          <w:lang w:val="es-ES"/>
        </w:rPr>
        <w:t>,</w:t>
      </w:r>
      <w:r w:rsidRPr="000A2EB9">
        <w:rPr>
          <w:bCs/>
          <w:lang w:val="es-ES"/>
        </w:rPr>
        <w:t xml:space="preserve"> en consecuencia, l</w:t>
      </w:r>
      <w:r w:rsidR="004E0712" w:rsidRPr="000A2EB9">
        <w:rPr>
          <w:bCs/>
          <w:lang w:val="es-ES"/>
        </w:rPr>
        <w:t>o</w:t>
      </w:r>
      <w:r w:rsidRPr="000A2EB9">
        <w:rPr>
          <w:bCs/>
          <w:lang w:val="es-ES"/>
        </w:rPr>
        <w:t xml:space="preserve"> revocó, mandando dictar una nueva resolución en base a estas pautas. </w:t>
      </w:r>
    </w:p>
    <w:p w14:paraId="6CCA212B" w14:textId="781A1A82" w:rsidR="00535C46" w:rsidRPr="000A2EB9" w:rsidRDefault="00FC6286" w:rsidP="00FC6286">
      <w:pPr>
        <w:spacing w:line="360" w:lineRule="auto"/>
        <w:jc w:val="both"/>
        <w:rPr>
          <w:bCs/>
          <w:lang w:val="es-ES"/>
        </w:rPr>
      </w:pPr>
      <w:r w:rsidRPr="000A2EB9">
        <w:rPr>
          <w:bCs/>
          <w:lang w:val="es-ES"/>
        </w:rPr>
        <w:tab/>
        <w:t xml:space="preserve"> </w:t>
      </w:r>
      <w:r w:rsidR="00535C46" w:rsidRPr="000A2EB9">
        <w:rPr>
          <w:bCs/>
          <w:lang w:val="es-ES"/>
        </w:rPr>
        <w:t xml:space="preserve">EL 04/09/2018 el Alto Tribunal, con su actual integración, ratificó nuevamente el criterio sentado en “Pellicori”, reiterado en “Sisnero”, en la causa </w:t>
      </w:r>
      <w:r w:rsidR="00535C46" w:rsidRPr="000A2EB9">
        <w:rPr>
          <w:b/>
          <w:lang w:val="es-ES"/>
        </w:rPr>
        <w:t>“</w:t>
      </w:r>
      <w:r w:rsidRPr="000A2EB9">
        <w:rPr>
          <w:b/>
          <w:lang w:val="es-ES"/>
        </w:rPr>
        <w:t>Varela, José Gilberto c/ Disco SA</w:t>
      </w:r>
      <w:r w:rsidR="00535C46" w:rsidRPr="000A2EB9">
        <w:rPr>
          <w:b/>
          <w:lang w:val="es-ES"/>
        </w:rPr>
        <w:t>”</w:t>
      </w:r>
      <w:r w:rsidR="00535C46" w:rsidRPr="000A2EB9">
        <w:rPr>
          <w:bCs/>
          <w:lang w:val="es-ES"/>
        </w:rPr>
        <w:t>, suscripta por los jueces Highton, Maqueda y Rosen</w:t>
      </w:r>
      <w:r w:rsidRPr="000A2EB9">
        <w:rPr>
          <w:bCs/>
          <w:lang w:val="es-ES"/>
        </w:rPr>
        <w:t>krantz</w:t>
      </w:r>
      <w:r w:rsidR="00550FBD" w:rsidRPr="000A2EB9">
        <w:rPr>
          <w:bCs/>
          <w:lang w:val="es-ES"/>
        </w:rPr>
        <w:t xml:space="preserve">. </w:t>
      </w:r>
    </w:p>
    <w:p w14:paraId="2205960F" w14:textId="1644F37F" w:rsidR="00535C46" w:rsidRPr="000A2EB9" w:rsidRDefault="00535C46" w:rsidP="00535C46">
      <w:pPr>
        <w:spacing w:line="360" w:lineRule="auto"/>
        <w:jc w:val="both"/>
        <w:rPr>
          <w:bCs/>
          <w:lang w:val="es-ES"/>
        </w:rPr>
      </w:pPr>
      <w:r w:rsidRPr="000A2EB9">
        <w:rPr>
          <w:bCs/>
          <w:lang w:val="es-ES"/>
        </w:rPr>
        <w:tab/>
        <w:t xml:space="preserve">Cabe memorar que la Corte de Justicia de la Provincia de Catamarca </w:t>
      </w:r>
      <w:r w:rsidR="004E0712" w:rsidRPr="000A2EB9">
        <w:rPr>
          <w:bCs/>
          <w:lang w:val="es-ES"/>
        </w:rPr>
        <w:t xml:space="preserve">había </w:t>
      </w:r>
      <w:r w:rsidRPr="000A2EB9">
        <w:rPr>
          <w:bCs/>
          <w:lang w:val="es-ES"/>
        </w:rPr>
        <w:t>confirm</w:t>
      </w:r>
      <w:r w:rsidR="004E0712" w:rsidRPr="000A2EB9">
        <w:rPr>
          <w:bCs/>
          <w:lang w:val="es-ES"/>
        </w:rPr>
        <w:t xml:space="preserve">ado </w:t>
      </w:r>
      <w:r w:rsidRPr="000A2EB9">
        <w:rPr>
          <w:bCs/>
          <w:lang w:val="es-ES"/>
        </w:rPr>
        <w:t>la decisión de grado que desestima</w:t>
      </w:r>
      <w:r w:rsidR="00E13245" w:rsidRPr="000A2EB9">
        <w:rPr>
          <w:bCs/>
          <w:lang w:val="es-ES"/>
        </w:rPr>
        <w:t>ra</w:t>
      </w:r>
      <w:r w:rsidRPr="000A2EB9">
        <w:rPr>
          <w:bCs/>
          <w:lang w:val="es-ES"/>
        </w:rPr>
        <w:t xml:space="preserve"> el reclamo del actor, quien pidiera la nulidad del despido sufrido al alegar que fue un comportamiento discriminatorio por su activismo sindical. </w:t>
      </w:r>
    </w:p>
    <w:p w14:paraId="7A848FC6" w14:textId="69CD69E2" w:rsidR="00507603" w:rsidRPr="000A2EB9" w:rsidRDefault="00535C46" w:rsidP="00535C46">
      <w:pPr>
        <w:spacing w:line="360" w:lineRule="auto"/>
        <w:ind w:firstLine="720"/>
        <w:jc w:val="both"/>
        <w:rPr>
          <w:bCs/>
          <w:lang w:val="es-ES"/>
        </w:rPr>
      </w:pPr>
      <w:r w:rsidRPr="000A2EB9">
        <w:rPr>
          <w:bCs/>
          <w:lang w:val="es-ES"/>
        </w:rPr>
        <w:lastRenderedPageBreak/>
        <w:t xml:space="preserve"> Más allá de algunas consideraciones sobre la tutela de los militantes sindicales que son ajenas a este análisis, el Superior Tribunal provincial hizo hincapié en que el trabajador no pudo demostrar que hubiera actuado como "activista" o "representante sindical de hecho"</w:t>
      </w:r>
      <w:r w:rsidR="00507603" w:rsidRPr="000A2EB9">
        <w:rPr>
          <w:bCs/>
          <w:lang w:val="es-ES"/>
        </w:rPr>
        <w:t xml:space="preserve"> y, para </w:t>
      </w:r>
      <w:r w:rsidR="00550FBD" w:rsidRPr="000A2EB9">
        <w:rPr>
          <w:bCs/>
          <w:lang w:val="es-ES"/>
        </w:rPr>
        <w:t xml:space="preserve">el voto mayoritario de </w:t>
      </w:r>
      <w:r w:rsidR="00507603" w:rsidRPr="000A2EB9">
        <w:rPr>
          <w:bCs/>
          <w:lang w:val="es-ES"/>
        </w:rPr>
        <w:t>la Corte Suprema</w:t>
      </w:r>
      <w:r w:rsidR="00550FBD" w:rsidRPr="000A2EB9">
        <w:rPr>
          <w:bCs/>
          <w:lang w:val="es-ES"/>
        </w:rPr>
        <w:t>,</w:t>
      </w:r>
      <w:r w:rsidR="00507603" w:rsidRPr="000A2EB9">
        <w:rPr>
          <w:bCs/>
          <w:lang w:val="es-ES"/>
        </w:rPr>
        <w:t xml:space="preserve"> aquel ignoró el estándar probatorio fijado en “Pellicori”</w:t>
      </w:r>
      <w:r w:rsidR="00E13245" w:rsidRPr="000A2EB9">
        <w:rPr>
          <w:bCs/>
          <w:lang w:val="es-ES"/>
        </w:rPr>
        <w:t xml:space="preserve">, omitiendo </w:t>
      </w:r>
      <w:r w:rsidR="00507603" w:rsidRPr="000A2EB9">
        <w:rPr>
          <w:bCs/>
          <w:lang w:val="es-ES"/>
        </w:rPr>
        <w:t>valorar prueba que, a la luz de dicho estándar, resultaba decisiva para una adecuada solución del pleito.</w:t>
      </w:r>
    </w:p>
    <w:p w14:paraId="1EEEECD0" w14:textId="50F29D0B" w:rsidR="00E13245" w:rsidRPr="000A2EB9" w:rsidRDefault="00507603" w:rsidP="00D03916">
      <w:pPr>
        <w:spacing w:line="360" w:lineRule="auto"/>
        <w:ind w:firstLine="720"/>
        <w:jc w:val="both"/>
        <w:rPr>
          <w:bCs/>
          <w:lang w:val="es-ES"/>
        </w:rPr>
      </w:pPr>
      <w:r w:rsidRPr="000A2EB9">
        <w:rPr>
          <w:bCs/>
          <w:lang w:val="es-ES"/>
        </w:rPr>
        <w:t>El juez Rosatti</w:t>
      </w:r>
      <w:r w:rsidR="00E13245" w:rsidRPr="000A2EB9">
        <w:rPr>
          <w:bCs/>
          <w:lang w:val="es-ES"/>
        </w:rPr>
        <w:t xml:space="preserve"> formuló un </w:t>
      </w:r>
      <w:r w:rsidRPr="000A2EB9">
        <w:rPr>
          <w:bCs/>
          <w:lang w:val="es-ES"/>
        </w:rPr>
        <w:t xml:space="preserve">voto concurrente, </w:t>
      </w:r>
      <w:r w:rsidR="00E13245" w:rsidRPr="000A2EB9">
        <w:rPr>
          <w:bCs/>
          <w:lang w:val="es-ES"/>
        </w:rPr>
        <w:t>en el que</w:t>
      </w:r>
      <w:r w:rsidR="00D03916" w:rsidRPr="000A2EB9">
        <w:rPr>
          <w:bCs/>
          <w:lang w:val="es-ES"/>
        </w:rPr>
        <w:t xml:space="preserve"> no se expidió sobre la operatividad eventual de la regla que el Cuerpo fijara en “Pellicori” y ratificara en “Sisnero”</w:t>
      </w:r>
      <w:r w:rsidR="00E13245" w:rsidRPr="000A2EB9">
        <w:rPr>
          <w:bCs/>
          <w:lang w:val="es-ES"/>
        </w:rPr>
        <w:t xml:space="preserve"> ya que </w:t>
      </w:r>
      <w:r w:rsidR="00D03916" w:rsidRPr="000A2EB9">
        <w:rPr>
          <w:bCs/>
          <w:lang w:val="es-ES"/>
        </w:rPr>
        <w:t>partió de las circunstancias de hecho determinadas en la primera instancia provincial, es decir la afiliación del actor a la entidad sindical respectiva, las gestiones que efectuó ante la autoridad administrativa requiriendo la convocatoria a elección de delegados obreros, el apoyo de sus compañeros de trabajo y el ejercicio de actividad sindical durante el desarrollo de la relación laboral</w:t>
      </w:r>
      <w:r w:rsidR="00E13245" w:rsidRPr="000A2EB9">
        <w:rPr>
          <w:bCs/>
          <w:lang w:val="es-ES"/>
        </w:rPr>
        <w:t xml:space="preserve"> para dar su opinión.</w:t>
      </w:r>
    </w:p>
    <w:p w14:paraId="6E9D5B53" w14:textId="5AC048F7" w:rsidR="00D03916" w:rsidRPr="000A2EB9" w:rsidRDefault="00D03916" w:rsidP="00D03916">
      <w:pPr>
        <w:spacing w:line="360" w:lineRule="auto"/>
        <w:ind w:firstLine="720"/>
        <w:jc w:val="both"/>
        <w:rPr>
          <w:bCs/>
          <w:lang w:val="es-ES"/>
        </w:rPr>
      </w:pPr>
      <w:r w:rsidRPr="000A2EB9">
        <w:rPr>
          <w:bCs/>
          <w:lang w:val="es-ES"/>
        </w:rPr>
        <w:t>Estos hechos, cabe acotarlo, no fueron desvirtuados por el fallo de la Cámara interviniente, que revoc</w:t>
      </w:r>
      <w:r w:rsidR="00E13245" w:rsidRPr="000A2EB9">
        <w:rPr>
          <w:bCs/>
          <w:lang w:val="es-ES"/>
        </w:rPr>
        <w:t>ara</w:t>
      </w:r>
      <w:r w:rsidRPr="000A2EB9">
        <w:rPr>
          <w:bCs/>
          <w:lang w:val="es-ES"/>
        </w:rPr>
        <w:t xml:space="preserve"> la sentencia y rechaz</w:t>
      </w:r>
      <w:r w:rsidR="00E13245" w:rsidRPr="000A2EB9">
        <w:rPr>
          <w:bCs/>
          <w:lang w:val="es-ES"/>
        </w:rPr>
        <w:t>ara</w:t>
      </w:r>
      <w:r w:rsidRPr="000A2EB9">
        <w:rPr>
          <w:bCs/>
          <w:lang w:val="es-ES"/>
        </w:rPr>
        <w:t xml:space="preserve"> la pretensión en base a interpretar que la ley 23.551 no prevé la reinstalación del activista sino solo la de los representantes gremiales y a considerar que, en el ámbito laboral privado, la estabilidad del dependiente es impropia. También es útil apuntar que la Corte provincial, al confirmar esa decisión de la Cámara, tampoco cuestionó aquellos hechos y basó la ratificación de la desestimación de la demanda en validar la interpretación de la ley 23.551 efectuada por la Cámara y en el entendimiento de que el recurrente tampoco gozaba de la protección, como mero "militante", de la ley 23.592, así como por considerar que no pudo demostrar que hubiera actuado como "activista" o "representante sindical de hecho".</w:t>
      </w:r>
    </w:p>
    <w:p w14:paraId="26BF8863" w14:textId="68C33E83" w:rsidR="00D03916" w:rsidRPr="000A2EB9" w:rsidRDefault="00D03916" w:rsidP="00D03916">
      <w:pPr>
        <w:spacing w:line="360" w:lineRule="auto"/>
        <w:ind w:firstLine="720"/>
        <w:jc w:val="both"/>
        <w:rPr>
          <w:bCs/>
          <w:lang w:val="es-ES"/>
        </w:rPr>
      </w:pPr>
      <w:r w:rsidRPr="000A2EB9">
        <w:rPr>
          <w:bCs/>
          <w:lang w:val="es-ES"/>
        </w:rPr>
        <w:t xml:space="preserve">Pues bien, a juicio del ministro Rosatti esos hechos fijados en la primera instancia fueron suficientes para activar la operatividad de la ley 23.592, considerándolos </w:t>
      </w:r>
      <w:r w:rsidR="00E13245" w:rsidRPr="000A2EB9">
        <w:rPr>
          <w:bCs/>
          <w:lang w:val="es-ES"/>
        </w:rPr>
        <w:t>idóneos</w:t>
      </w:r>
      <w:r w:rsidRPr="000A2EB9">
        <w:rPr>
          <w:bCs/>
          <w:lang w:val="es-ES"/>
        </w:rPr>
        <w:t xml:space="preserve"> para encontrar probado el trato discriminatorio.</w:t>
      </w:r>
    </w:p>
    <w:p w14:paraId="79852302" w14:textId="77777777" w:rsidR="00C177C4" w:rsidRPr="000A2EB9" w:rsidRDefault="00C177C4" w:rsidP="00507B8F">
      <w:pPr>
        <w:spacing w:line="360" w:lineRule="auto"/>
        <w:jc w:val="both"/>
        <w:rPr>
          <w:b/>
          <w:lang w:val="es-ES"/>
        </w:rPr>
      </w:pPr>
    </w:p>
    <w:p w14:paraId="45146F26" w14:textId="4CE7F3E9" w:rsidR="00F350B1" w:rsidRPr="000A2EB9" w:rsidRDefault="002F5665" w:rsidP="00C177C4">
      <w:pPr>
        <w:spacing w:line="360" w:lineRule="auto"/>
        <w:ind w:left="720" w:firstLine="720"/>
        <w:jc w:val="both"/>
        <w:rPr>
          <w:bCs/>
          <w:lang w:val="es-ES"/>
        </w:rPr>
      </w:pPr>
      <w:r w:rsidRPr="000A2EB9">
        <w:rPr>
          <w:b/>
          <w:lang w:val="es-ES"/>
        </w:rPr>
        <w:t>C</w:t>
      </w:r>
      <w:r w:rsidR="00507B8F" w:rsidRPr="000A2EB9">
        <w:rPr>
          <w:b/>
          <w:lang w:val="es-ES"/>
        </w:rPr>
        <w:t>) Fallos sobre empleo público</w:t>
      </w:r>
      <w:r w:rsidR="00507B8F" w:rsidRPr="000A2EB9">
        <w:rPr>
          <w:bCs/>
          <w:lang w:val="es-ES"/>
        </w:rPr>
        <w:t xml:space="preserve">. </w:t>
      </w:r>
    </w:p>
    <w:p w14:paraId="38A6FEE7" w14:textId="77777777" w:rsidR="00C177C4" w:rsidRPr="000A2EB9" w:rsidRDefault="00C177C4" w:rsidP="00507B8F">
      <w:pPr>
        <w:spacing w:line="360" w:lineRule="auto"/>
        <w:jc w:val="both"/>
        <w:rPr>
          <w:b/>
          <w:lang w:val="es-ES"/>
        </w:rPr>
      </w:pPr>
    </w:p>
    <w:p w14:paraId="43321C10" w14:textId="039CFD1D" w:rsidR="002F5665" w:rsidRPr="000A2EB9" w:rsidRDefault="002F5665" w:rsidP="00507B8F">
      <w:pPr>
        <w:spacing w:line="360" w:lineRule="auto"/>
        <w:jc w:val="both"/>
        <w:rPr>
          <w:b/>
          <w:lang w:val="es-ES"/>
        </w:rPr>
      </w:pPr>
      <w:r w:rsidRPr="000A2EB9">
        <w:rPr>
          <w:b/>
          <w:lang w:val="es-ES"/>
        </w:rPr>
        <w:t>C) 1.  La estabilidad de los empleados públicos.</w:t>
      </w:r>
    </w:p>
    <w:p w14:paraId="7544CFE7" w14:textId="3C9BE1CC" w:rsidR="00507B8F" w:rsidRPr="000A2EB9" w:rsidRDefault="00D71636" w:rsidP="00507B8F">
      <w:pPr>
        <w:spacing w:line="360" w:lineRule="auto"/>
        <w:jc w:val="both"/>
        <w:rPr>
          <w:bCs/>
          <w:lang w:val="es-ES"/>
        </w:rPr>
      </w:pPr>
      <w:r w:rsidRPr="000A2EB9">
        <w:rPr>
          <w:bCs/>
          <w:lang w:val="es-ES"/>
        </w:rPr>
        <w:tab/>
        <w:t xml:space="preserve">El caso </w:t>
      </w:r>
      <w:r w:rsidRPr="000A2EB9">
        <w:rPr>
          <w:b/>
          <w:lang w:val="es-ES"/>
        </w:rPr>
        <w:t>“Madorrán, Marta Cristina c/ Administración Nacional de Aduanas”</w:t>
      </w:r>
      <w:r w:rsidRPr="000A2EB9">
        <w:rPr>
          <w:bCs/>
          <w:lang w:val="es-ES"/>
        </w:rPr>
        <w:t xml:space="preserve">, decidido el 03/05/2007 permitió al Máximo Tribunal argentino revalidar la garantía constitucional de la estabilidad propia de los agentes públicos, expidiéndose en una hipótesis de empleo público nacional en un organismo de la Administración </w:t>
      </w:r>
      <w:r w:rsidR="00E0093B" w:rsidRPr="000A2EB9">
        <w:rPr>
          <w:bCs/>
          <w:lang w:val="es-ES"/>
        </w:rPr>
        <w:t>Pública</w:t>
      </w:r>
      <w:r w:rsidRPr="000A2EB9">
        <w:rPr>
          <w:bCs/>
          <w:lang w:val="es-ES"/>
        </w:rPr>
        <w:t xml:space="preserve"> pero proyectable a cualquier otro supuesto de empleo </w:t>
      </w:r>
      <w:r w:rsidR="00E0093B" w:rsidRPr="000A2EB9">
        <w:rPr>
          <w:bCs/>
          <w:lang w:val="es-ES"/>
        </w:rPr>
        <w:t>estatal.</w:t>
      </w:r>
    </w:p>
    <w:p w14:paraId="6B37C832" w14:textId="4E37374B" w:rsidR="00F350B1" w:rsidRPr="000A2EB9" w:rsidRDefault="00D71636" w:rsidP="007736E9">
      <w:pPr>
        <w:spacing w:line="360" w:lineRule="auto"/>
        <w:jc w:val="both"/>
        <w:rPr>
          <w:bCs/>
          <w:lang w:val="es-ES"/>
        </w:rPr>
      </w:pPr>
      <w:r w:rsidRPr="000A2EB9">
        <w:rPr>
          <w:bCs/>
          <w:lang w:val="es-ES"/>
        </w:rPr>
        <w:tab/>
      </w:r>
      <w:r w:rsidR="00882FAB" w:rsidRPr="000A2EB9">
        <w:rPr>
          <w:bCs/>
          <w:lang w:val="es-ES"/>
        </w:rPr>
        <w:t xml:space="preserve">La actora integraba el plantel permanente del ente demandado, que integra la denominada Administración </w:t>
      </w:r>
      <w:r w:rsidR="00E0093B" w:rsidRPr="000A2EB9">
        <w:rPr>
          <w:bCs/>
          <w:lang w:val="es-ES"/>
        </w:rPr>
        <w:t>Pública</w:t>
      </w:r>
      <w:r w:rsidR="00882FAB" w:rsidRPr="000A2EB9">
        <w:rPr>
          <w:bCs/>
          <w:lang w:val="es-ES"/>
        </w:rPr>
        <w:t xml:space="preserve"> </w:t>
      </w:r>
      <w:r w:rsidR="00E0093B" w:rsidRPr="000A2EB9">
        <w:rPr>
          <w:bCs/>
          <w:lang w:val="es-ES"/>
        </w:rPr>
        <w:t>N</w:t>
      </w:r>
      <w:r w:rsidR="00882FAB" w:rsidRPr="000A2EB9">
        <w:rPr>
          <w:bCs/>
          <w:lang w:val="es-ES"/>
        </w:rPr>
        <w:t xml:space="preserve">acional y fue despedida </w:t>
      </w:r>
      <w:r w:rsidR="007736E9" w:rsidRPr="000A2EB9">
        <w:rPr>
          <w:bCs/>
          <w:lang w:val="es-ES"/>
        </w:rPr>
        <w:t>mediante la invocación del incumplimiento de determinados deberes</w:t>
      </w:r>
      <w:r w:rsidR="00E0093B" w:rsidRPr="000A2EB9">
        <w:rPr>
          <w:bCs/>
          <w:lang w:val="es-ES"/>
        </w:rPr>
        <w:t xml:space="preserve">, </w:t>
      </w:r>
      <w:r w:rsidR="00882FAB" w:rsidRPr="000A2EB9">
        <w:rPr>
          <w:bCs/>
          <w:lang w:val="es-ES"/>
        </w:rPr>
        <w:t>en los términos del art. 7 del Convenio Colectivo 56/1992 E según Laudo 16/1992, acuerdo colectivo que regula las relacio</w:t>
      </w:r>
      <w:r w:rsidR="00882FAB" w:rsidRPr="000A2EB9">
        <w:rPr>
          <w:bCs/>
          <w:lang w:val="es-ES"/>
        </w:rPr>
        <w:lastRenderedPageBreak/>
        <w:t>nes de dicho ente con su personal</w:t>
      </w:r>
      <w:r w:rsidR="007736E9" w:rsidRPr="000A2EB9">
        <w:rPr>
          <w:bCs/>
          <w:lang w:val="es-ES"/>
        </w:rPr>
        <w:t xml:space="preserve"> y que, en caso de considerarse injustificado el despido, sólo prevé como consecuencia el derecho de la empleada a una indemnización en los términos de la Ley de Contrato de Trabajo.</w:t>
      </w:r>
    </w:p>
    <w:p w14:paraId="3C9AF058" w14:textId="70B63DD9" w:rsidR="007736E9" w:rsidRPr="000A2EB9" w:rsidRDefault="007736E9" w:rsidP="007736E9">
      <w:pPr>
        <w:spacing w:line="360" w:lineRule="auto"/>
        <w:jc w:val="both"/>
        <w:rPr>
          <w:bCs/>
          <w:lang w:val="es-ES"/>
        </w:rPr>
      </w:pPr>
      <w:r w:rsidRPr="000A2EB9">
        <w:rPr>
          <w:bCs/>
          <w:lang w:val="es-ES"/>
        </w:rPr>
        <w:tab/>
        <w:t xml:space="preserve">Para comprender los términos de la cuestión resuelta por el Máximo Tribunal argentino cabe traer a colación que la norma que regula el </w:t>
      </w:r>
      <w:r w:rsidR="00107DD2" w:rsidRPr="000A2EB9">
        <w:rPr>
          <w:bCs/>
          <w:lang w:val="es-ES"/>
        </w:rPr>
        <w:t>E</w:t>
      </w:r>
      <w:r w:rsidRPr="000A2EB9">
        <w:rPr>
          <w:bCs/>
          <w:lang w:val="es-ES"/>
        </w:rPr>
        <w:t xml:space="preserve">mpleo </w:t>
      </w:r>
      <w:r w:rsidR="00107DD2" w:rsidRPr="000A2EB9">
        <w:rPr>
          <w:bCs/>
          <w:lang w:val="es-ES"/>
        </w:rPr>
        <w:t>P</w:t>
      </w:r>
      <w:r w:rsidRPr="000A2EB9">
        <w:rPr>
          <w:bCs/>
          <w:lang w:val="es-ES"/>
        </w:rPr>
        <w:t>úblico nacional, ley 25.164, dispone en su art. 3 que “</w:t>
      </w:r>
      <w:r w:rsidRPr="000A2EB9">
        <w:rPr>
          <w:bCs/>
          <w:i/>
          <w:iCs/>
          <w:lang w:val="es-ES"/>
        </w:rPr>
        <w:t xml:space="preserve">Al personal que preste servicios en organismos pertenecientes a la Administración Pública Nacional, </w:t>
      </w:r>
      <w:r w:rsidRPr="000A2EB9">
        <w:rPr>
          <w:b/>
          <w:i/>
          <w:iCs/>
          <w:lang w:val="es-ES"/>
        </w:rPr>
        <w:t>y esté regido por los preceptos de la Ley de Contrato de Trabajo Nº 20.744 (t.o. 1976), y modificatorias o la que se dicte en su reemplazo</w:t>
      </w:r>
      <w:r w:rsidRPr="000A2EB9">
        <w:rPr>
          <w:bCs/>
          <w:i/>
          <w:iCs/>
          <w:lang w:val="es-ES"/>
        </w:rPr>
        <w:t>, se les aplicarán las previsiones contenidas en ese régimen normativo”</w:t>
      </w:r>
      <w:r w:rsidRPr="000A2EB9">
        <w:rPr>
          <w:bCs/>
          <w:lang w:val="es-ES"/>
        </w:rPr>
        <w:t xml:space="preserve"> (el remarcado es mío), así como que el art. 2 de la Ley de Contrato de Trabajo complementariamente estable</w:t>
      </w:r>
      <w:r w:rsidR="00107DD2" w:rsidRPr="000A2EB9">
        <w:rPr>
          <w:bCs/>
          <w:lang w:val="es-ES"/>
        </w:rPr>
        <w:t>ce</w:t>
      </w:r>
      <w:r w:rsidRPr="000A2EB9">
        <w:rPr>
          <w:bCs/>
          <w:lang w:val="es-ES"/>
        </w:rPr>
        <w:t xml:space="preserve"> lo siguiente: “</w:t>
      </w:r>
      <w:r w:rsidRPr="000A2EB9">
        <w:rPr>
          <w:bCs/>
          <w:i/>
          <w:iCs/>
          <w:lang w:val="es-ES"/>
        </w:rPr>
        <w:t>Las disposiciones de esta ley no serán aplicables: a) A los dependientes de la Administración pública nacional, provincial o municipal, excepto que por acto expreso se los incluya en la misma o en el régimen de las convenciones colectivas de trabajo;…</w:t>
      </w:r>
      <w:r w:rsidRPr="000A2EB9">
        <w:rPr>
          <w:bCs/>
          <w:lang w:val="es-ES"/>
        </w:rPr>
        <w:t>”</w:t>
      </w:r>
    </w:p>
    <w:p w14:paraId="46CDFF8A" w14:textId="77777777" w:rsidR="00107DD2" w:rsidRPr="000A2EB9" w:rsidRDefault="007736E9" w:rsidP="007736E9">
      <w:pPr>
        <w:spacing w:line="360" w:lineRule="auto"/>
        <w:jc w:val="both"/>
        <w:rPr>
          <w:bCs/>
          <w:lang w:val="es-ES"/>
        </w:rPr>
      </w:pPr>
      <w:r w:rsidRPr="000A2EB9">
        <w:rPr>
          <w:bCs/>
          <w:lang w:val="es-ES"/>
        </w:rPr>
        <w:tab/>
        <w:t xml:space="preserve">Este juego normativo requiere una explicación y significa que, en principio, los trabajadores que prestan sus servicios para el Estado nacional, provincial o municipal se rigen por el Estatuto específico de Empleo Público y que la Ley de Contrato de Trabajo no les resulta aplicable. </w:t>
      </w:r>
    </w:p>
    <w:p w14:paraId="1F0337C9" w14:textId="73C5FE15" w:rsidR="007736E9" w:rsidRPr="000A2EB9" w:rsidRDefault="00107DD2" w:rsidP="007736E9">
      <w:pPr>
        <w:spacing w:line="360" w:lineRule="auto"/>
        <w:jc w:val="both"/>
        <w:rPr>
          <w:bCs/>
          <w:lang w:val="es-ES"/>
        </w:rPr>
      </w:pPr>
      <w:r w:rsidRPr="000A2EB9">
        <w:rPr>
          <w:bCs/>
          <w:lang w:val="es-ES"/>
        </w:rPr>
        <w:t xml:space="preserve"> </w:t>
      </w:r>
      <w:r w:rsidRPr="000A2EB9">
        <w:rPr>
          <w:bCs/>
          <w:lang w:val="es-ES"/>
        </w:rPr>
        <w:tab/>
      </w:r>
      <w:r w:rsidR="007736E9" w:rsidRPr="000A2EB9">
        <w:rPr>
          <w:bCs/>
          <w:lang w:val="es-ES"/>
        </w:rPr>
        <w:t xml:space="preserve">Sin embargo, el art. 2 de esta última norma general del empleo privado autoriza al Estado empleador a hacer aplicables las reglas de la LCT en el empleo público, habilitando 2 vías para ello: a) que lo establezca </w:t>
      </w:r>
      <w:r w:rsidRPr="000A2EB9">
        <w:rPr>
          <w:bCs/>
          <w:lang w:val="es-ES"/>
        </w:rPr>
        <w:t xml:space="preserve">unilateralmente </w:t>
      </w:r>
      <w:r w:rsidR="007736E9" w:rsidRPr="000A2EB9">
        <w:rPr>
          <w:bCs/>
          <w:lang w:val="es-ES"/>
        </w:rPr>
        <w:t>por acto expreso</w:t>
      </w:r>
      <w:r w:rsidRPr="000A2EB9">
        <w:rPr>
          <w:bCs/>
          <w:lang w:val="es-ES"/>
        </w:rPr>
        <w:t xml:space="preserve"> </w:t>
      </w:r>
      <w:r w:rsidR="007736E9" w:rsidRPr="000A2EB9">
        <w:rPr>
          <w:bCs/>
          <w:lang w:val="es-ES"/>
        </w:rPr>
        <w:t>o b) que los incluya en el régimen de las convenciones colectivas de trabajo.</w:t>
      </w:r>
    </w:p>
    <w:p w14:paraId="597FEF5D" w14:textId="6F611C4D" w:rsidR="007736E9" w:rsidRPr="000A2EB9" w:rsidRDefault="007736E9" w:rsidP="007736E9">
      <w:pPr>
        <w:spacing w:line="360" w:lineRule="auto"/>
        <w:jc w:val="both"/>
        <w:rPr>
          <w:bCs/>
          <w:lang w:val="es-ES"/>
        </w:rPr>
      </w:pPr>
      <w:r w:rsidRPr="000A2EB9">
        <w:rPr>
          <w:bCs/>
          <w:lang w:val="es-ES"/>
        </w:rPr>
        <w:tab/>
        <w:t xml:space="preserve">En el caso bajo exposición, la Convención Colectiva 56/1992 hizo aplicable </w:t>
      </w:r>
      <w:r w:rsidR="00107DD2" w:rsidRPr="000A2EB9">
        <w:rPr>
          <w:bCs/>
          <w:lang w:val="es-ES"/>
        </w:rPr>
        <w:t xml:space="preserve">a los empleados de la Administración Nacional de Aduanas, es decir a empleados públicos, </w:t>
      </w:r>
      <w:r w:rsidRPr="000A2EB9">
        <w:rPr>
          <w:bCs/>
          <w:lang w:val="es-ES"/>
        </w:rPr>
        <w:t xml:space="preserve">la legislación laboral privada, es decir la Ley de Contrato de Trabajo y sus normas complementarias, </w:t>
      </w:r>
      <w:r w:rsidR="00107DD2" w:rsidRPr="000A2EB9">
        <w:rPr>
          <w:bCs/>
          <w:lang w:val="es-ES"/>
        </w:rPr>
        <w:t>en virtud de lo previsto en el caso b) recién mencionado.</w:t>
      </w:r>
    </w:p>
    <w:p w14:paraId="1C0E985B" w14:textId="36B8FA0A" w:rsidR="007736E9" w:rsidRPr="000A2EB9" w:rsidRDefault="007736E9" w:rsidP="007736E9">
      <w:pPr>
        <w:spacing w:line="360" w:lineRule="auto"/>
        <w:jc w:val="both"/>
        <w:rPr>
          <w:bCs/>
          <w:lang w:val="es-ES"/>
        </w:rPr>
      </w:pPr>
      <w:r w:rsidRPr="000A2EB9">
        <w:rPr>
          <w:bCs/>
          <w:lang w:val="es-ES"/>
        </w:rPr>
        <w:tab/>
        <w:t xml:space="preserve">Esta complejidad normativa nacida del art. 2 de la Ley de Contrato de Trabajo tiene como finalidad ampliar los derechos de los empleados públicos, lo que se comprenderá mejor si se parte de la presunción de que el régimen del </w:t>
      </w:r>
      <w:r w:rsidR="00107DD2" w:rsidRPr="000A2EB9">
        <w:rPr>
          <w:bCs/>
          <w:lang w:val="es-ES"/>
        </w:rPr>
        <w:t>E</w:t>
      </w:r>
      <w:r w:rsidRPr="000A2EB9">
        <w:rPr>
          <w:bCs/>
          <w:lang w:val="es-ES"/>
        </w:rPr>
        <w:t xml:space="preserve">mpleo </w:t>
      </w:r>
      <w:r w:rsidR="00107DD2" w:rsidRPr="000A2EB9">
        <w:rPr>
          <w:bCs/>
          <w:lang w:val="es-ES"/>
        </w:rPr>
        <w:t>P</w:t>
      </w:r>
      <w:r w:rsidRPr="000A2EB9">
        <w:rPr>
          <w:bCs/>
          <w:lang w:val="es-ES"/>
        </w:rPr>
        <w:t>úblico es más laxo en cuanto a los límites, deberes y restricciones que se pone</w:t>
      </w:r>
      <w:r w:rsidR="00107DD2" w:rsidRPr="000A2EB9">
        <w:rPr>
          <w:bCs/>
          <w:lang w:val="es-ES"/>
        </w:rPr>
        <w:t>n</w:t>
      </w:r>
      <w:r w:rsidRPr="000A2EB9">
        <w:rPr>
          <w:bCs/>
          <w:lang w:val="es-ES"/>
        </w:rPr>
        <w:t xml:space="preserve"> al empleador, basado en la creencia tradicional de que, al no estar movido por fines de lucro como la casi totalidad de los empleadores privados, sus conductas requieren menor reglamentación. Al hacerse aplicable a los empleados públicos el derecho laboral privado se le suman garantías y derechos.</w:t>
      </w:r>
    </w:p>
    <w:p w14:paraId="76F79F2A" w14:textId="4A714794" w:rsidR="007736E9" w:rsidRPr="000A2EB9" w:rsidRDefault="007736E9" w:rsidP="007736E9">
      <w:pPr>
        <w:spacing w:line="360" w:lineRule="auto"/>
        <w:jc w:val="both"/>
        <w:rPr>
          <w:bCs/>
          <w:lang w:val="es-ES"/>
        </w:rPr>
      </w:pPr>
      <w:r w:rsidRPr="000A2EB9">
        <w:rPr>
          <w:bCs/>
          <w:lang w:val="es-ES"/>
        </w:rPr>
        <w:tab/>
        <w:t>Ahora bien, ese cruce de fuentes normativas no debe llevar a pensar que esa posibilidad que abre el art. 2 de la ley laboral privada pueda modificar la naturaleza jurídica del vínculo entre un Estado y el empleado público.</w:t>
      </w:r>
      <w:r w:rsidR="00107DD2" w:rsidRPr="000A2EB9">
        <w:rPr>
          <w:bCs/>
          <w:lang w:val="es-ES"/>
        </w:rPr>
        <w:t xml:space="preserve"> En efecto, e</w:t>
      </w:r>
      <w:r w:rsidRPr="000A2EB9">
        <w:rPr>
          <w:bCs/>
          <w:lang w:val="es-ES"/>
        </w:rPr>
        <w:t>l hecho de que el propio Estado empleador decida, unilateralmente por acto expreso o negociando un convenio colectivo de trabajo de los regidos por la ley 14.250 (</w:t>
      </w:r>
      <w:r w:rsidR="00107DD2" w:rsidRPr="000A2EB9">
        <w:rPr>
          <w:rStyle w:val="Refdenotaalpie"/>
          <w:bCs/>
          <w:lang w:val="es-ES"/>
        </w:rPr>
        <w:footnoteReference w:id="35"/>
      </w:r>
      <w:r w:rsidRPr="000A2EB9">
        <w:rPr>
          <w:bCs/>
          <w:lang w:val="es-ES"/>
        </w:rPr>
        <w:t xml:space="preserve">), “agregar” al plexo </w:t>
      </w:r>
      <w:r w:rsidRPr="000A2EB9">
        <w:rPr>
          <w:bCs/>
          <w:lang w:val="es-ES"/>
        </w:rPr>
        <w:lastRenderedPageBreak/>
        <w:t xml:space="preserve">normativo que rige el empleo público </w:t>
      </w:r>
      <w:r w:rsidR="00107DD2" w:rsidRPr="000A2EB9">
        <w:rPr>
          <w:bCs/>
          <w:lang w:val="es-ES"/>
        </w:rPr>
        <w:t xml:space="preserve">las normas de la ley laboral común </w:t>
      </w:r>
      <w:r w:rsidRPr="000A2EB9">
        <w:rPr>
          <w:bCs/>
          <w:lang w:val="es-ES"/>
        </w:rPr>
        <w:t>no convierte en privado el contrato con sus agentes.</w:t>
      </w:r>
    </w:p>
    <w:p w14:paraId="0C1AC2A5" w14:textId="06DF9C53" w:rsidR="007736E9" w:rsidRPr="000A2EB9" w:rsidRDefault="007736E9" w:rsidP="007736E9">
      <w:pPr>
        <w:spacing w:line="360" w:lineRule="auto"/>
        <w:jc w:val="both"/>
        <w:rPr>
          <w:bCs/>
          <w:lang w:val="es-ES"/>
        </w:rPr>
      </w:pPr>
      <w:r w:rsidRPr="000A2EB9">
        <w:rPr>
          <w:bCs/>
          <w:lang w:val="es-ES"/>
        </w:rPr>
        <w:tab/>
        <w:t xml:space="preserve">Pese a la certeza de este concepto, no siempre es visto con claridad, sobre todo por los propios representantes de los Estados nacional, provincial y municipal y este dato puede explicar </w:t>
      </w:r>
      <w:r w:rsidR="00107DD2" w:rsidRPr="000A2EB9">
        <w:rPr>
          <w:bCs/>
          <w:lang w:val="es-ES"/>
        </w:rPr>
        <w:t xml:space="preserve">lo </w:t>
      </w:r>
      <w:r w:rsidRPr="000A2EB9">
        <w:rPr>
          <w:bCs/>
          <w:lang w:val="es-ES"/>
        </w:rPr>
        <w:t xml:space="preserve">que el gremio </w:t>
      </w:r>
      <w:r w:rsidR="00107DD2" w:rsidRPr="000A2EB9">
        <w:rPr>
          <w:bCs/>
          <w:lang w:val="es-ES"/>
        </w:rPr>
        <w:t>suscr</w:t>
      </w:r>
      <w:r w:rsidRPr="000A2EB9">
        <w:rPr>
          <w:bCs/>
          <w:lang w:val="es-ES"/>
        </w:rPr>
        <w:t xml:space="preserve">ibiera </w:t>
      </w:r>
      <w:r w:rsidR="00107DD2" w:rsidRPr="000A2EB9">
        <w:rPr>
          <w:bCs/>
          <w:lang w:val="es-ES"/>
        </w:rPr>
        <w:t>a</w:t>
      </w:r>
      <w:r w:rsidRPr="000A2EB9">
        <w:rPr>
          <w:bCs/>
          <w:lang w:val="es-ES"/>
        </w:rPr>
        <w:t xml:space="preserve">l </w:t>
      </w:r>
      <w:r w:rsidR="00107DD2" w:rsidRPr="000A2EB9">
        <w:rPr>
          <w:bCs/>
          <w:lang w:val="es-ES"/>
        </w:rPr>
        <w:t xml:space="preserve">pactar el </w:t>
      </w:r>
      <w:r w:rsidRPr="000A2EB9">
        <w:rPr>
          <w:bCs/>
          <w:lang w:val="es-ES"/>
        </w:rPr>
        <w:t>Convenio Colectivo 56/1992 ya que no es presumible que, al celebrar tal negocio colectivo, hayan querido hacer perder a sus representados el régimen de estabilidad propia de la ley 25.164 de Empleo Público nacional.</w:t>
      </w:r>
    </w:p>
    <w:p w14:paraId="02D8E1BA" w14:textId="056E4E9A" w:rsidR="006715CC" w:rsidRPr="000A2EB9" w:rsidRDefault="00882FAB" w:rsidP="007736E9">
      <w:pPr>
        <w:spacing w:line="360" w:lineRule="auto"/>
        <w:jc w:val="both"/>
        <w:rPr>
          <w:bCs/>
          <w:lang w:val="es-ES"/>
        </w:rPr>
      </w:pPr>
      <w:r w:rsidRPr="000A2EB9">
        <w:rPr>
          <w:bCs/>
          <w:lang w:val="es-ES"/>
        </w:rPr>
        <w:tab/>
      </w:r>
      <w:r w:rsidR="007736E9" w:rsidRPr="000A2EB9">
        <w:rPr>
          <w:bCs/>
          <w:lang w:val="es-ES"/>
        </w:rPr>
        <w:t>Hecha esta aclaración, cabe ahora apuntar que l</w:t>
      </w:r>
      <w:r w:rsidRPr="000A2EB9">
        <w:rPr>
          <w:bCs/>
          <w:lang w:val="es-ES"/>
        </w:rPr>
        <w:t xml:space="preserve">a Sala VI de la CNAT había </w:t>
      </w:r>
      <w:r w:rsidR="00A843C9" w:rsidRPr="000A2EB9">
        <w:rPr>
          <w:bCs/>
          <w:lang w:val="es-ES"/>
        </w:rPr>
        <w:t xml:space="preserve">declarado la inconstitucionalidad de esa cláusula convencional, </w:t>
      </w:r>
      <w:r w:rsidRPr="000A2EB9">
        <w:rPr>
          <w:bCs/>
          <w:lang w:val="es-ES"/>
        </w:rPr>
        <w:t>deja</w:t>
      </w:r>
      <w:r w:rsidR="00A843C9" w:rsidRPr="000A2EB9">
        <w:rPr>
          <w:bCs/>
          <w:lang w:val="es-ES"/>
        </w:rPr>
        <w:t>n</w:t>
      </w:r>
      <w:r w:rsidRPr="000A2EB9">
        <w:rPr>
          <w:bCs/>
          <w:lang w:val="es-ES"/>
        </w:rPr>
        <w:t>do sin efecto la sentencia de primera instancia que rechaz</w:t>
      </w:r>
      <w:r w:rsidR="006715CC" w:rsidRPr="000A2EB9">
        <w:rPr>
          <w:bCs/>
          <w:lang w:val="es-ES"/>
        </w:rPr>
        <w:t>ara</w:t>
      </w:r>
      <w:r w:rsidRPr="000A2EB9">
        <w:rPr>
          <w:bCs/>
          <w:lang w:val="es-ES"/>
        </w:rPr>
        <w:t xml:space="preserve"> la pretensión de la trabajadora de que se considerase nulo tal despido y se la reinstalara en su empleo</w:t>
      </w:r>
      <w:r w:rsidR="00A843C9" w:rsidRPr="000A2EB9">
        <w:rPr>
          <w:bCs/>
          <w:lang w:val="es-ES"/>
        </w:rPr>
        <w:t>.</w:t>
      </w:r>
    </w:p>
    <w:p w14:paraId="7B9B9DDF" w14:textId="681F8C8C" w:rsidR="00882FAB" w:rsidRPr="000A2EB9" w:rsidRDefault="006715CC" w:rsidP="006715CC">
      <w:pPr>
        <w:spacing w:line="360" w:lineRule="auto"/>
        <w:ind w:firstLine="720"/>
        <w:jc w:val="both"/>
        <w:rPr>
          <w:bCs/>
          <w:lang w:val="es-ES"/>
        </w:rPr>
      </w:pPr>
      <w:r w:rsidRPr="000A2EB9">
        <w:rPr>
          <w:bCs/>
          <w:lang w:val="es-ES"/>
        </w:rPr>
        <w:t>L</w:t>
      </w:r>
      <w:r w:rsidR="00882FAB" w:rsidRPr="000A2EB9">
        <w:rPr>
          <w:bCs/>
          <w:lang w:val="es-ES"/>
        </w:rPr>
        <w:t>a Corte Suprema, en este importante precedente, confirmó lo decidido por el Tribunal a quo, sentando claras reglas en materia de estabilidad en el empleo público</w:t>
      </w:r>
      <w:r w:rsidR="007736E9" w:rsidRPr="000A2EB9">
        <w:rPr>
          <w:bCs/>
          <w:lang w:val="es-ES"/>
        </w:rPr>
        <w:t xml:space="preserve">, con el voto </w:t>
      </w:r>
      <w:r w:rsidR="00A843C9" w:rsidRPr="000A2EB9">
        <w:rPr>
          <w:bCs/>
          <w:lang w:val="es-ES"/>
        </w:rPr>
        <w:t xml:space="preserve">mayoritario de los jueces Lorenzetti, Fayt y Petracchi y </w:t>
      </w:r>
      <w:r w:rsidR="00B4372E" w:rsidRPr="000A2EB9">
        <w:rPr>
          <w:bCs/>
          <w:lang w:val="es-ES"/>
        </w:rPr>
        <w:t xml:space="preserve">con </w:t>
      </w:r>
      <w:r w:rsidR="00CC42CD" w:rsidRPr="000A2EB9">
        <w:rPr>
          <w:bCs/>
          <w:lang w:val="es-ES"/>
        </w:rPr>
        <w:t>votos concurrentes de los ministros Highton, Argibay y Maqueda</w:t>
      </w:r>
      <w:r w:rsidR="000E19B9" w:rsidRPr="000A2EB9">
        <w:rPr>
          <w:bCs/>
          <w:lang w:val="es-ES"/>
        </w:rPr>
        <w:t xml:space="preserve">, </w:t>
      </w:r>
      <w:r w:rsidR="00CC42CD" w:rsidRPr="000A2EB9">
        <w:rPr>
          <w:bCs/>
          <w:lang w:val="es-ES"/>
        </w:rPr>
        <w:t>coincidiendo en lo fundamental.</w:t>
      </w:r>
    </w:p>
    <w:p w14:paraId="5C9BC1AF" w14:textId="4DFFA018" w:rsidR="007736E9" w:rsidRPr="000A2EB9" w:rsidRDefault="007736E9" w:rsidP="00D82FB4">
      <w:pPr>
        <w:spacing w:line="360" w:lineRule="auto"/>
        <w:jc w:val="both"/>
        <w:rPr>
          <w:bCs/>
          <w:lang w:val="es-ES"/>
        </w:rPr>
      </w:pPr>
      <w:r w:rsidRPr="000A2EB9">
        <w:rPr>
          <w:bCs/>
          <w:lang w:val="es-ES"/>
        </w:rPr>
        <w:tab/>
        <w:t>Como señal</w:t>
      </w:r>
      <w:r w:rsidR="005B6353" w:rsidRPr="000A2EB9">
        <w:rPr>
          <w:bCs/>
          <w:lang w:val="es-ES"/>
        </w:rPr>
        <w:t>aron</w:t>
      </w:r>
      <w:r w:rsidRPr="000A2EB9">
        <w:rPr>
          <w:bCs/>
          <w:lang w:val="es-ES"/>
        </w:rPr>
        <w:t xml:space="preserve"> el voto de la mayoría</w:t>
      </w:r>
      <w:r w:rsidR="005B6353" w:rsidRPr="000A2EB9">
        <w:rPr>
          <w:bCs/>
          <w:lang w:val="es-ES"/>
        </w:rPr>
        <w:t xml:space="preserve"> y también los votos concurrentes</w:t>
      </w:r>
      <w:r w:rsidRPr="000A2EB9">
        <w:rPr>
          <w:bCs/>
          <w:lang w:val="es-ES"/>
        </w:rPr>
        <w:t>, por las limitaciones impuestas por la competencia extraordinaria de la Corte, sólo le cupo a ésta decidir si l</w:t>
      </w:r>
      <w:r w:rsidR="00D82FB4" w:rsidRPr="000A2EB9">
        <w:rPr>
          <w:bCs/>
          <w:lang w:val="es-ES"/>
        </w:rPr>
        <w:t xml:space="preserve">a norma del Convenio Colectivo </w:t>
      </w:r>
      <w:r w:rsidRPr="000A2EB9">
        <w:rPr>
          <w:bCs/>
          <w:lang w:val="es-ES"/>
        </w:rPr>
        <w:t>que</w:t>
      </w:r>
      <w:r w:rsidR="00D82FB4" w:rsidRPr="000A2EB9">
        <w:rPr>
          <w:bCs/>
          <w:lang w:val="es-ES"/>
        </w:rPr>
        <w:t xml:space="preserve"> </w:t>
      </w:r>
      <w:r w:rsidRPr="000A2EB9">
        <w:rPr>
          <w:bCs/>
          <w:lang w:val="es-ES"/>
        </w:rPr>
        <w:t>somet</w:t>
      </w:r>
      <w:r w:rsidR="00A843C9" w:rsidRPr="000A2EB9">
        <w:rPr>
          <w:bCs/>
          <w:lang w:val="es-ES"/>
        </w:rPr>
        <w:t>ía</w:t>
      </w:r>
      <w:r w:rsidRPr="000A2EB9">
        <w:rPr>
          <w:bCs/>
          <w:lang w:val="es-ES"/>
        </w:rPr>
        <w:t xml:space="preserve"> a la actora</w:t>
      </w:r>
      <w:r w:rsidR="00D82FB4" w:rsidRPr="000A2EB9">
        <w:rPr>
          <w:bCs/>
          <w:lang w:val="es-ES"/>
        </w:rPr>
        <w:t>, en caso de despido injustificado (</w:t>
      </w:r>
      <w:r w:rsidR="00D82FB4" w:rsidRPr="000A2EB9">
        <w:rPr>
          <w:rStyle w:val="Refdenotaalpie"/>
          <w:bCs/>
          <w:lang w:val="es-ES"/>
        </w:rPr>
        <w:footnoteReference w:id="36"/>
      </w:r>
      <w:r w:rsidR="00D82FB4" w:rsidRPr="000A2EB9">
        <w:rPr>
          <w:bCs/>
          <w:lang w:val="es-ES"/>
        </w:rPr>
        <w:t>),</w:t>
      </w:r>
      <w:r w:rsidRPr="000A2EB9">
        <w:rPr>
          <w:bCs/>
          <w:lang w:val="es-ES"/>
        </w:rPr>
        <w:t xml:space="preserve"> a un régimen </w:t>
      </w:r>
      <w:r w:rsidR="00D82FB4" w:rsidRPr="000A2EB9">
        <w:rPr>
          <w:bCs/>
          <w:lang w:val="es-ES"/>
        </w:rPr>
        <w:t xml:space="preserve">de estabilidad impropia regido por la LCT </w:t>
      </w:r>
      <w:r w:rsidRPr="000A2EB9">
        <w:rPr>
          <w:bCs/>
          <w:lang w:val="es-ES"/>
        </w:rPr>
        <w:t xml:space="preserve">resulta compatible o no con la estabilidad del empleado </w:t>
      </w:r>
      <w:r w:rsidR="00D82FB4" w:rsidRPr="000A2EB9">
        <w:rPr>
          <w:bCs/>
          <w:lang w:val="es-ES"/>
        </w:rPr>
        <w:t>público que prescribe el art. 14 bis de la Constitución Nacional.</w:t>
      </w:r>
    </w:p>
    <w:p w14:paraId="0B62751C" w14:textId="2558AC9A" w:rsidR="00C84E8C" w:rsidRPr="000A2EB9" w:rsidRDefault="00D82FB4" w:rsidP="00C84E8C">
      <w:pPr>
        <w:spacing w:line="360" w:lineRule="auto"/>
        <w:jc w:val="both"/>
        <w:rPr>
          <w:bCs/>
          <w:lang w:val="es-ES"/>
        </w:rPr>
      </w:pPr>
      <w:r w:rsidRPr="000A2EB9">
        <w:rPr>
          <w:bCs/>
          <w:lang w:val="es-ES"/>
        </w:rPr>
        <w:tab/>
      </w:r>
      <w:r w:rsidR="00C84E8C" w:rsidRPr="000A2EB9">
        <w:rPr>
          <w:bCs/>
          <w:lang w:val="es-ES"/>
        </w:rPr>
        <w:t xml:space="preserve">El voto conjunto de los jueces Lorenzetti, Fayt y Petracchi comenzó recordando que </w:t>
      </w:r>
      <w:r w:rsidR="0049335C" w:rsidRPr="000A2EB9">
        <w:rPr>
          <w:bCs/>
          <w:lang w:val="es-ES"/>
        </w:rPr>
        <w:t>la llamada estabilidad propia resulta el medio que</w:t>
      </w:r>
      <w:r w:rsidR="00C84E8C" w:rsidRPr="000A2EB9">
        <w:rPr>
          <w:bCs/>
          <w:lang w:val="es-ES"/>
        </w:rPr>
        <w:t xml:space="preserve"> </w:t>
      </w:r>
      <w:r w:rsidR="0049335C" w:rsidRPr="000A2EB9">
        <w:rPr>
          <w:bCs/>
          <w:lang w:val="es-ES"/>
        </w:rPr>
        <w:t xml:space="preserve">guarda la mejor correspondencia con los propósitos constitucionales </w:t>
      </w:r>
      <w:r w:rsidR="00C84E8C" w:rsidRPr="000A2EB9">
        <w:rPr>
          <w:bCs/>
          <w:lang w:val="es-ES"/>
        </w:rPr>
        <w:t>para garantizar a los empleados públicos su permanencia más allá de los vaivenes derivados de los cambios de gobierno, a la par que apuntó que la estabilidad propia es coherente con el art. 16 de la Constitución Nacional dado que, si ha sido respetada la condición de idoneidad que exige dicho precepto para la admisibilidad en los empleos, es razonable pensar que el propio Estado estará interesado en continuar teniendo a su disposición un agente salvo que, si de su conducta se trata, medien razones justificadas de cese (</w:t>
      </w:r>
      <w:r w:rsidR="00C84E8C" w:rsidRPr="000A2EB9">
        <w:rPr>
          <w:rStyle w:val="Refdenotaalpie"/>
          <w:bCs/>
          <w:lang w:val="es-ES"/>
        </w:rPr>
        <w:footnoteReference w:id="37"/>
      </w:r>
      <w:r w:rsidR="00C84E8C" w:rsidRPr="000A2EB9">
        <w:rPr>
          <w:bCs/>
          <w:lang w:val="es-ES"/>
        </w:rPr>
        <w:t>).</w:t>
      </w:r>
    </w:p>
    <w:p w14:paraId="55E252C8" w14:textId="4BF11B6F" w:rsidR="005B6353" w:rsidRPr="000A2EB9" w:rsidRDefault="005B6353" w:rsidP="005B6353">
      <w:pPr>
        <w:spacing w:line="360" w:lineRule="auto"/>
        <w:jc w:val="both"/>
        <w:rPr>
          <w:bCs/>
          <w:lang w:val="es-ES"/>
        </w:rPr>
      </w:pPr>
      <w:r w:rsidRPr="000A2EB9">
        <w:rPr>
          <w:bCs/>
          <w:lang w:val="es-ES"/>
        </w:rPr>
        <w:tab/>
        <w:t>En la misma línea, el voto de los ministros Highton y Maqueda añad</w:t>
      </w:r>
      <w:r w:rsidR="00A843C9" w:rsidRPr="000A2EB9">
        <w:rPr>
          <w:bCs/>
          <w:lang w:val="es-ES"/>
        </w:rPr>
        <w:t>ió</w:t>
      </w:r>
      <w:r w:rsidRPr="000A2EB9">
        <w:rPr>
          <w:bCs/>
          <w:lang w:val="es-ES"/>
        </w:rPr>
        <w:t xml:space="preserve"> que la concepción de la estabilidad del empleado público introducida en el</w:t>
      </w:r>
      <w:r w:rsidR="007217A8" w:rsidRPr="000A2EB9">
        <w:rPr>
          <w:bCs/>
          <w:lang w:val="es-ES"/>
        </w:rPr>
        <w:t xml:space="preserve"> </w:t>
      </w:r>
      <w:r w:rsidRPr="000A2EB9">
        <w:rPr>
          <w:bCs/>
          <w:lang w:val="es-ES"/>
        </w:rPr>
        <w:t>texto del art. 14 bis de la Constitución implica la estabilidad en sentido propio que excluye, por principio, la cesantía</w:t>
      </w:r>
      <w:r w:rsidR="007217A8" w:rsidRPr="000A2EB9">
        <w:rPr>
          <w:bCs/>
          <w:lang w:val="es-ES"/>
        </w:rPr>
        <w:t xml:space="preserve"> </w:t>
      </w:r>
      <w:r w:rsidRPr="000A2EB9">
        <w:rPr>
          <w:bCs/>
          <w:lang w:val="es-ES"/>
        </w:rPr>
        <w:t>sin causa justificada y debido proceso, y cuya violación trae</w:t>
      </w:r>
      <w:r w:rsidR="007217A8" w:rsidRPr="000A2EB9">
        <w:rPr>
          <w:bCs/>
          <w:lang w:val="es-ES"/>
        </w:rPr>
        <w:t xml:space="preserve"> </w:t>
      </w:r>
      <w:r w:rsidRPr="000A2EB9">
        <w:rPr>
          <w:bCs/>
          <w:lang w:val="es-ES"/>
        </w:rPr>
        <w:t>consigo la nulidad de ésta y consiguiente reincorporación</w:t>
      </w:r>
      <w:r w:rsidR="007217A8" w:rsidRPr="000A2EB9">
        <w:rPr>
          <w:bCs/>
          <w:lang w:val="es-ES"/>
        </w:rPr>
        <w:t xml:space="preserve">. Asimismo, subrayaron la claridad </w:t>
      </w:r>
      <w:r w:rsidR="007217A8" w:rsidRPr="000A2EB9">
        <w:rPr>
          <w:bCs/>
          <w:lang w:val="es-ES"/>
        </w:rPr>
        <w:lastRenderedPageBreak/>
        <w:t>del texto constitucional que distingue la exigencia al legislador de dar protección contra el despido arbitrario por un lado y la garantía operativa de la estabilidad propia para los empleados públicos, señalando dichos magistrados que, s</w:t>
      </w:r>
      <w:r w:rsidRPr="000A2EB9">
        <w:rPr>
          <w:bCs/>
          <w:lang w:val="es-ES"/>
        </w:rPr>
        <w:t>i</w:t>
      </w:r>
      <w:r w:rsidR="007217A8" w:rsidRPr="000A2EB9">
        <w:rPr>
          <w:bCs/>
          <w:lang w:val="es-ES"/>
        </w:rPr>
        <w:t xml:space="preserve"> </w:t>
      </w:r>
      <w:r w:rsidRPr="000A2EB9">
        <w:rPr>
          <w:bCs/>
          <w:lang w:val="es-ES"/>
        </w:rPr>
        <w:t xml:space="preserve">esto no hubiere sido así, habría sido suficiente </w:t>
      </w:r>
      <w:r w:rsidR="007217A8" w:rsidRPr="000A2EB9">
        <w:rPr>
          <w:bCs/>
          <w:lang w:val="es-ES"/>
        </w:rPr>
        <w:t xml:space="preserve">la regla de </w:t>
      </w:r>
      <w:r w:rsidRPr="000A2EB9">
        <w:rPr>
          <w:bCs/>
          <w:lang w:val="es-ES"/>
        </w:rPr>
        <w:t>la protección contra el despido</w:t>
      </w:r>
      <w:r w:rsidR="007217A8" w:rsidRPr="000A2EB9">
        <w:rPr>
          <w:bCs/>
          <w:lang w:val="es-ES"/>
        </w:rPr>
        <w:t xml:space="preserve"> </w:t>
      </w:r>
      <w:r w:rsidRPr="000A2EB9">
        <w:rPr>
          <w:bCs/>
          <w:lang w:val="es-ES"/>
        </w:rPr>
        <w:t>arbitrario, que no es otra cosa que la llamada estabilidad en</w:t>
      </w:r>
      <w:r w:rsidR="007217A8" w:rsidRPr="000A2EB9">
        <w:rPr>
          <w:bCs/>
          <w:lang w:val="es-ES"/>
        </w:rPr>
        <w:t xml:space="preserve"> </w:t>
      </w:r>
      <w:r w:rsidRPr="000A2EB9">
        <w:rPr>
          <w:bCs/>
          <w:lang w:val="es-ES"/>
        </w:rPr>
        <w:t>sentido impropio</w:t>
      </w:r>
      <w:r w:rsidR="007217A8" w:rsidRPr="000A2EB9">
        <w:rPr>
          <w:bCs/>
          <w:lang w:val="es-ES"/>
        </w:rPr>
        <w:t>.</w:t>
      </w:r>
    </w:p>
    <w:p w14:paraId="5C2C4A18" w14:textId="3E4CDD4B" w:rsidR="007217A8" w:rsidRPr="000A2EB9" w:rsidRDefault="007217A8" w:rsidP="007217A8">
      <w:pPr>
        <w:spacing w:line="360" w:lineRule="auto"/>
        <w:ind w:firstLine="720"/>
        <w:jc w:val="both"/>
        <w:rPr>
          <w:bCs/>
          <w:lang w:val="es-ES"/>
        </w:rPr>
      </w:pPr>
      <w:r w:rsidRPr="000A2EB9">
        <w:rPr>
          <w:bCs/>
          <w:lang w:val="es-ES"/>
        </w:rPr>
        <w:t>No es distinto el enfoque expuesto por la jueza Argibay en su voto concurrente individual, al aseverar que la estabilidad del empleado público introducida en el texto del artículo 14 bis de la Constitución Nacional es claramente una garantía de estabilidad en sentido propio, que excluye, por principio, la cesantía sin causa justificada y debido proceso, y cuya violación trae consigo la nulidad de ésta y la consiguiente reincorporación, posibilitando retomar el curso de la carrera por el agente separado ilegalmente, derecho a la carrera que integra el concepto de estabilidad.</w:t>
      </w:r>
    </w:p>
    <w:p w14:paraId="199378C5" w14:textId="136EF6F2" w:rsidR="0049335C" w:rsidRPr="000A2EB9" w:rsidRDefault="00C84E8C" w:rsidP="00C84E8C">
      <w:pPr>
        <w:spacing w:line="360" w:lineRule="auto"/>
        <w:ind w:firstLine="720"/>
        <w:jc w:val="both"/>
        <w:rPr>
          <w:bCs/>
          <w:lang w:val="es-ES"/>
        </w:rPr>
      </w:pPr>
      <w:r w:rsidRPr="000A2EB9">
        <w:rPr>
          <w:bCs/>
          <w:lang w:val="es-ES"/>
        </w:rPr>
        <w:t xml:space="preserve">Seguidamente, y después de memorar que </w:t>
      </w:r>
      <w:r w:rsidR="005B6353" w:rsidRPr="000A2EB9">
        <w:rPr>
          <w:bCs/>
          <w:lang w:val="es-ES"/>
        </w:rPr>
        <w:t xml:space="preserve">la solución adoptada por la Constitución Nacional argentina en relación al empleo público </w:t>
      </w:r>
      <w:r w:rsidRPr="000A2EB9">
        <w:rPr>
          <w:bCs/>
          <w:lang w:val="es-ES"/>
        </w:rPr>
        <w:t>concuerda con los principios y pautas de interpretación del Derecho Internacional de los Derechos Humanos</w:t>
      </w:r>
      <w:r w:rsidR="005B6353" w:rsidRPr="000A2EB9">
        <w:rPr>
          <w:bCs/>
          <w:lang w:val="es-ES"/>
        </w:rPr>
        <w:t xml:space="preserve">, </w:t>
      </w:r>
      <w:r w:rsidRPr="000A2EB9">
        <w:rPr>
          <w:bCs/>
          <w:lang w:val="es-ES"/>
        </w:rPr>
        <w:t xml:space="preserve"> el voto mayoritario </w:t>
      </w:r>
      <w:r w:rsidR="005B6353" w:rsidRPr="000A2EB9">
        <w:rPr>
          <w:bCs/>
          <w:lang w:val="es-ES"/>
        </w:rPr>
        <w:t xml:space="preserve">afirmó </w:t>
      </w:r>
      <w:r w:rsidRPr="000A2EB9">
        <w:rPr>
          <w:bCs/>
          <w:lang w:val="es-ES"/>
        </w:rPr>
        <w:t xml:space="preserve">que pretender reemplazar la reinstalación garantizada por el art. 14 bis de la Constitución Nacional </w:t>
      </w:r>
      <w:r w:rsidR="0049335C" w:rsidRPr="000A2EB9">
        <w:rPr>
          <w:bCs/>
          <w:lang w:val="es-ES"/>
        </w:rPr>
        <w:t>por una indemnización</w:t>
      </w:r>
      <w:r w:rsidRPr="000A2EB9">
        <w:rPr>
          <w:bCs/>
          <w:lang w:val="es-ES"/>
        </w:rPr>
        <w:t>, como lo prevé el Convenio Colectivo aplicable al caso</w:t>
      </w:r>
      <w:r w:rsidR="0049335C" w:rsidRPr="000A2EB9">
        <w:rPr>
          <w:bCs/>
          <w:lang w:val="es-ES"/>
        </w:rPr>
        <w:t>, dejaría intacta la eventual repetición de las prácticas que la reforma de 1957 quiso evitar,</w:t>
      </w:r>
      <w:r w:rsidRPr="000A2EB9">
        <w:rPr>
          <w:bCs/>
          <w:lang w:val="es-ES"/>
        </w:rPr>
        <w:t xml:space="preserve"> </w:t>
      </w:r>
      <w:r w:rsidR="0049335C" w:rsidRPr="000A2EB9">
        <w:rPr>
          <w:bCs/>
          <w:lang w:val="es-ES"/>
        </w:rPr>
        <w:t>con sus notorios y contraproducentes efectos, e introduciría,</w:t>
      </w:r>
      <w:r w:rsidRPr="000A2EB9">
        <w:rPr>
          <w:bCs/>
          <w:lang w:val="es-ES"/>
        </w:rPr>
        <w:t xml:space="preserve"> </w:t>
      </w:r>
      <w:r w:rsidR="0049335C" w:rsidRPr="000A2EB9">
        <w:rPr>
          <w:bCs/>
          <w:lang w:val="es-ES"/>
        </w:rPr>
        <w:t>a la vez, una evidente carga sobre la bolsa estatal</w:t>
      </w:r>
      <w:r w:rsidRPr="000A2EB9">
        <w:rPr>
          <w:bCs/>
          <w:lang w:val="es-ES"/>
        </w:rPr>
        <w:t xml:space="preserve"> pues ello daría libertad al Estado empleador a prescindir del personal no </w:t>
      </w:r>
      <w:r w:rsidR="00A843C9" w:rsidRPr="000A2EB9">
        <w:rPr>
          <w:bCs/>
          <w:lang w:val="es-ES"/>
        </w:rPr>
        <w:t>afín</w:t>
      </w:r>
      <w:r w:rsidRPr="000A2EB9">
        <w:rPr>
          <w:bCs/>
          <w:lang w:val="es-ES"/>
        </w:rPr>
        <w:t>, cargando al erario público las indemnizaciones respectivas.</w:t>
      </w:r>
    </w:p>
    <w:p w14:paraId="782750AE" w14:textId="77777777" w:rsidR="00A843C9" w:rsidRPr="000A2EB9" w:rsidRDefault="005B6353" w:rsidP="007217A8">
      <w:pPr>
        <w:spacing w:line="360" w:lineRule="auto"/>
        <w:jc w:val="both"/>
        <w:rPr>
          <w:bCs/>
          <w:lang w:val="es-ES"/>
        </w:rPr>
      </w:pPr>
      <w:r w:rsidRPr="000A2EB9">
        <w:rPr>
          <w:bCs/>
          <w:lang w:val="es-ES"/>
        </w:rPr>
        <w:tab/>
        <w:t xml:space="preserve">Adujo el voto conjunto que hizo mayoría que, si bien toda garantía constitucional está sujeta a la reglamentación, ésta no puede negar el contenido de dicha garantía, de manera que lo normado por el Convenio Colectivo no pudo válidamente, so pretexto de una reglamentación por la negociación colectiva, privar a la actora, como agente de la Administración, de la </w:t>
      </w:r>
      <w:r w:rsidR="0049335C" w:rsidRPr="000A2EB9">
        <w:rPr>
          <w:bCs/>
          <w:lang w:val="es-ES"/>
        </w:rPr>
        <w:t xml:space="preserve">"estabilidad del empleado público" preceptuada por el art. 14 bis de la Constitución Nacional </w:t>
      </w:r>
      <w:r w:rsidRPr="000A2EB9">
        <w:rPr>
          <w:bCs/>
          <w:lang w:val="es-ES"/>
        </w:rPr>
        <w:t>y, por ello, dispuso confirmar la sentencia de la Cámara que declarara nulo e inconstitucional el art. 7 del convenio colectivo 56/92 "E" según el texto dispuesto por el laudo 16/92 del Ministerio de Trabajo y Seguridad de la Nación, por impedir que el art. 14 bis produzca los mencionados efectos.</w:t>
      </w:r>
      <w:r w:rsidR="007217A8" w:rsidRPr="000A2EB9">
        <w:rPr>
          <w:bCs/>
          <w:lang w:val="es-ES"/>
        </w:rPr>
        <w:t xml:space="preserve"> </w:t>
      </w:r>
    </w:p>
    <w:p w14:paraId="394E2B42" w14:textId="25CA102A" w:rsidR="00C25062" w:rsidRPr="000A2EB9" w:rsidRDefault="007217A8" w:rsidP="00A843C9">
      <w:pPr>
        <w:spacing w:line="360" w:lineRule="auto"/>
        <w:ind w:firstLine="720"/>
        <w:jc w:val="both"/>
        <w:rPr>
          <w:bCs/>
          <w:lang w:val="es-ES"/>
        </w:rPr>
      </w:pPr>
      <w:r w:rsidRPr="000A2EB9">
        <w:rPr>
          <w:bCs/>
          <w:lang w:val="es-ES"/>
        </w:rPr>
        <w:t>En similar sentido, el voto conjunto de los jueces Highton y Maqueda concluy</w:t>
      </w:r>
      <w:r w:rsidR="00A843C9" w:rsidRPr="000A2EB9">
        <w:rPr>
          <w:bCs/>
          <w:lang w:val="es-ES"/>
        </w:rPr>
        <w:t>ó</w:t>
      </w:r>
      <w:r w:rsidRPr="000A2EB9">
        <w:rPr>
          <w:bCs/>
          <w:lang w:val="es-ES"/>
        </w:rPr>
        <w:t xml:space="preserve"> que el art. 7, inc. c, del CCT, al consagrar la estabilidad impropia, altera en el caso concreto la sustancia del régimen de</w:t>
      </w:r>
      <w:r w:rsidR="00A843C9" w:rsidRPr="000A2EB9">
        <w:rPr>
          <w:bCs/>
          <w:lang w:val="es-ES"/>
        </w:rPr>
        <w:t xml:space="preserve"> </w:t>
      </w:r>
      <w:r w:rsidRPr="000A2EB9">
        <w:rPr>
          <w:bCs/>
          <w:lang w:val="es-ES"/>
        </w:rPr>
        <w:t>l</w:t>
      </w:r>
      <w:r w:rsidR="00A843C9" w:rsidRPr="000A2EB9">
        <w:rPr>
          <w:bCs/>
          <w:lang w:val="es-ES"/>
        </w:rPr>
        <w:t>a</w:t>
      </w:r>
      <w:r w:rsidRPr="000A2EB9">
        <w:rPr>
          <w:bCs/>
          <w:lang w:val="es-ES"/>
        </w:rPr>
        <w:t xml:space="preserve"> estabilidad propia antes referido y, de este modo, lo desnaturaliza. En la misma senda, la Dra. Argibay añadió que esas reglamentaciones, que pueden atender al origen y regularidad de las designaciones, períodos razonables de prueba, causas justificadas de cesantía y otras disposiciones que sistematicen la carrera administrativa, no </w:t>
      </w:r>
      <w:r w:rsidR="00A843C9" w:rsidRPr="000A2EB9">
        <w:rPr>
          <w:bCs/>
          <w:lang w:val="es-ES"/>
        </w:rPr>
        <w:t>están facultadas para</w:t>
      </w:r>
      <w:r w:rsidRPr="000A2EB9">
        <w:rPr>
          <w:bCs/>
          <w:lang w:val="es-ES"/>
        </w:rPr>
        <w:t xml:space="preserve"> desnaturalizar la efectiva aplicación de la estabilidad, transformando el derecho a ser reincorporado en caso de cesantía injustificada en un mero derecho indemnizatorio.</w:t>
      </w:r>
    </w:p>
    <w:p w14:paraId="5F82F460" w14:textId="1AD81E3D" w:rsidR="00B4372E" w:rsidRPr="000A2EB9" w:rsidRDefault="00C25062" w:rsidP="007217A8">
      <w:pPr>
        <w:spacing w:line="360" w:lineRule="auto"/>
        <w:jc w:val="both"/>
        <w:rPr>
          <w:bCs/>
          <w:lang w:val="es-ES"/>
        </w:rPr>
      </w:pPr>
      <w:r w:rsidRPr="000A2EB9">
        <w:rPr>
          <w:bCs/>
          <w:lang w:val="es-ES"/>
        </w:rPr>
        <w:lastRenderedPageBreak/>
        <w:tab/>
        <w:t>En suma, la Corte Federal, con el voto concordante en lo esencial de los 6 jueces que suscribieron el fallo, consideró que la reglamentación que por el Convenio Colectivo se hiciera del régimen de estabilidad de los empleados de la demandada, indiscutidamente empleados públicos, resultó inconstitucional en la medida que intentó transformar una estabilidad propia en un régimen indemnizatorio (</w:t>
      </w:r>
      <w:r w:rsidRPr="000A2EB9">
        <w:rPr>
          <w:rStyle w:val="Refdenotaalpie"/>
          <w:bCs/>
          <w:lang w:val="es-ES"/>
        </w:rPr>
        <w:footnoteReference w:id="38"/>
      </w:r>
      <w:r w:rsidRPr="000A2EB9">
        <w:rPr>
          <w:bCs/>
          <w:lang w:val="es-ES"/>
        </w:rPr>
        <w:t>).</w:t>
      </w:r>
      <w:r w:rsidR="007217A8" w:rsidRPr="000A2EB9">
        <w:rPr>
          <w:bCs/>
          <w:lang w:val="es-ES"/>
        </w:rPr>
        <w:t xml:space="preserve"> </w:t>
      </w:r>
    </w:p>
    <w:p w14:paraId="0D568848" w14:textId="566E0C31" w:rsidR="00F350B1" w:rsidRPr="000A2EB9" w:rsidRDefault="008E317E" w:rsidP="00C9616F">
      <w:pPr>
        <w:spacing w:line="360" w:lineRule="auto"/>
        <w:ind w:firstLine="720"/>
        <w:jc w:val="both"/>
        <w:rPr>
          <w:bCs/>
          <w:lang w:val="es-ES"/>
        </w:rPr>
      </w:pPr>
      <w:r w:rsidRPr="000A2EB9">
        <w:rPr>
          <w:bCs/>
          <w:lang w:val="es-ES"/>
        </w:rPr>
        <w:t xml:space="preserve">Pocos días después, el 15/05/2007 el Máximo Tribunal argentino </w:t>
      </w:r>
      <w:r w:rsidR="005E5B85" w:rsidRPr="000A2EB9">
        <w:rPr>
          <w:bCs/>
          <w:lang w:val="es-ES"/>
        </w:rPr>
        <w:t>ratificó esa doctrina en un</w:t>
      </w:r>
      <w:r w:rsidRPr="000A2EB9">
        <w:rPr>
          <w:bCs/>
          <w:lang w:val="es-ES"/>
        </w:rPr>
        <w:t xml:space="preserve"> caso </w:t>
      </w:r>
      <w:r w:rsidR="00C9616F" w:rsidRPr="000A2EB9">
        <w:rPr>
          <w:bCs/>
          <w:lang w:val="es-ES"/>
        </w:rPr>
        <w:t xml:space="preserve">substancialmente </w:t>
      </w:r>
      <w:r w:rsidRPr="000A2EB9">
        <w:rPr>
          <w:bCs/>
          <w:lang w:val="es-ES"/>
        </w:rPr>
        <w:t>análogo en la causa caratulada</w:t>
      </w:r>
      <w:r w:rsidR="00C9616F" w:rsidRPr="000A2EB9">
        <w:rPr>
          <w:bCs/>
          <w:lang w:val="es-ES"/>
        </w:rPr>
        <w:t xml:space="preserve"> </w:t>
      </w:r>
      <w:r w:rsidRPr="000A2EB9">
        <w:rPr>
          <w:b/>
          <w:lang w:val="es-ES"/>
        </w:rPr>
        <w:t>"Ruiz, Emilio David c/ DGI</w:t>
      </w:r>
      <w:r w:rsidR="00A843C9" w:rsidRPr="000A2EB9">
        <w:rPr>
          <w:b/>
          <w:lang w:val="es-ES"/>
        </w:rPr>
        <w:t xml:space="preserve">” </w:t>
      </w:r>
      <w:r w:rsidRPr="000A2EB9">
        <w:rPr>
          <w:bCs/>
          <w:lang w:val="es-ES"/>
        </w:rPr>
        <w:t>(</w:t>
      </w:r>
      <w:r w:rsidRPr="000A2EB9">
        <w:rPr>
          <w:rStyle w:val="Refdenotaalpie"/>
          <w:bCs/>
          <w:lang w:val="es-ES"/>
        </w:rPr>
        <w:footnoteReference w:id="39"/>
      </w:r>
      <w:r w:rsidRPr="000A2EB9">
        <w:rPr>
          <w:bCs/>
          <w:lang w:val="es-ES"/>
        </w:rPr>
        <w:t>)</w:t>
      </w:r>
      <w:r w:rsidR="005E5B85" w:rsidRPr="000A2EB9">
        <w:rPr>
          <w:bCs/>
          <w:lang w:val="es-ES"/>
        </w:rPr>
        <w:t xml:space="preserve">, con la firma de </w:t>
      </w:r>
      <w:r w:rsidR="00C9616F" w:rsidRPr="000A2EB9">
        <w:rPr>
          <w:bCs/>
          <w:lang w:val="es-ES"/>
        </w:rPr>
        <w:t>los jueces Lorenzetti, Fayt, Petracchi, Highton, Maqueda</w:t>
      </w:r>
      <w:r w:rsidR="00A843C9" w:rsidRPr="000A2EB9">
        <w:rPr>
          <w:bCs/>
          <w:lang w:val="es-ES"/>
        </w:rPr>
        <w:t xml:space="preserve"> y</w:t>
      </w:r>
      <w:r w:rsidR="00C9616F" w:rsidRPr="000A2EB9">
        <w:rPr>
          <w:bCs/>
          <w:lang w:val="es-ES"/>
        </w:rPr>
        <w:t xml:space="preserve"> Argibay, </w:t>
      </w:r>
      <w:r w:rsidR="005E5B85" w:rsidRPr="000A2EB9">
        <w:rPr>
          <w:bCs/>
          <w:lang w:val="es-ES"/>
        </w:rPr>
        <w:t xml:space="preserve">quienes </w:t>
      </w:r>
      <w:r w:rsidR="00C9616F" w:rsidRPr="000A2EB9">
        <w:rPr>
          <w:bCs/>
          <w:lang w:val="es-ES"/>
        </w:rPr>
        <w:t xml:space="preserve">remitieron a sus respectivos votos </w:t>
      </w:r>
      <w:r w:rsidR="005E5B85" w:rsidRPr="000A2EB9">
        <w:rPr>
          <w:bCs/>
          <w:lang w:val="es-ES"/>
        </w:rPr>
        <w:t xml:space="preserve">en “Madorrán”, sumándose el ministro </w:t>
      </w:r>
      <w:r w:rsidR="00C9616F" w:rsidRPr="000A2EB9">
        <w:rPr>
          <w:bCs/>
          <w:lang w:val="es-ES"/>
        </w:rPr>
        <w:t>Zaffaroni, con un voto concurrente</w:t>
      </w:r>
      <w:r w:rsidR="005E5B85" w:rsidRPr="000A2EB9">
        <w:rPr>
          <w:bCs/>
          <w:lang w:val="es-ES"/>
        </w:rPr>
        <w:t>, en términos análogos.</w:t>
      </w:r>
    </w:p>
    <w:p w14:paraId="690E2EBD" w14:textId="182F4BF3" w:rsidR="007D73A0" w:rsidRPr="000A2EB9" w:rsidRDefault="007D73A0" w:rsidP="00F350B1">
      <w:pPr>
        <w:spacing w:line="360" w:lineRule="auto"/>
        <w:ind w:firstLine="720"/>
        <w:jc w:val="both"/>
        <w:rPr>
          <w:bCs/>
          <w:lang w:val="es-ES"/>
        </w:rPr>
      </w:pPr>
      <w:r w:rsidRPr="000A2EB9">
        <w:rPr>
          <w:bCs/>
          <w:lang w:val="es-ES"/>
        </w:rPr>
        <w:t xml:space="preserve">Más allá de la estabilidad de la doctrina de los casos “Madorrán” y “Ruiz”, ocho años después la Corte Suprema volvió a ocuparse del tema de la estabilidad de los empleados públicos en el caso </w:t>
      </w:r>
      <w:r w:rsidR="00F350B1" w:rsidRPr="000A2EB9">
        <w:rPr>
          <w:b/>
          <w:lang w:val="es-ES"/>
        </w:rPr>
        <w:t>“Luque, Rolando Baltazar c/ Sociedad del Estado Casa de Moneda</w:t>
      </w:r>
      <w:r w:rsidR="00A843C9" w:rsidRPr="000A2EB9">
        <w:rPr>
          <w:bCs/>
          <w:lang w:val="es-ES"/>
        </w:rPr>
        <w:t>”</w:t>
      </w:r>
      <w:r w:rsidR="00F350B1" w:rsidRPr="000A2EB9">
        <w:rPr>
          <w:bCs/>
          <w:lang w:val="es-ES"/>
        </w:rPr>
        <w:t xml:space="preserve">, </w:t>
      </w:r>
      <w:r w:rsidRPr="000A2EB9">
        <w:rPr>
          <w:bCs/>
          <w:lang w:val="es-ES"/>
        </w:rPr>
        <w:t xml:space="preserve">sentencia de fecha </w:t>
      </w:r>
      <w:r w:rsidR="00F350B1" w:rsidRPr="000A2EB9">
        <w:rPr>
          <w:bCs/>
          <w:lang w:val="es-ES"/>
        </w:rPr>
        <w:t>27/10/2015</w:t>
      </w:r>
      <w:r w:rsidRPr="000A2EB9">
        <w:rPr>
          <w:bCs/>
          <w:lang w:val="es-ES"/>
        </w:rPr>
        <w:t xml:space="preserve">, pero en éste para establecer los límites de aplicabilidad de esa doctrina. </w:t>
      </w:r>
    </w:p>
    <w:p w14:paraId="57146FEF" w14:textId="6A77B173" w:rsidR="007327B9" w:rsidRPr="000A2EB9" w:rsidRDefault="007327B9" w:rsidP="00F350B1">
      <w:pPr>
        <w:spacing w:line="360" w:lineRule="auto"/>
        <w:ind w:firstLine="720"/>
        <w:jc w:val="both"/>
        <w:rPr>
          <w:bCs/>
          <w:lang w:val="es-ES"/>
        </w:rPr>
      </w:pPr>
      <w:r w:rsidRPr="000A2EB9">
        <w:rPr>
          <w:bCs/>
          <w:lang w:val="es-ES"/>
        </w:rPr>
        <w:t>En esta causa, la Sala I de la CNAT, para revocar la sentencia de primera instancia que rechazara la pretensión actoral, había considerado que el demandante, como empleado público, tenía derecho a la estabilidad propia basándose en la jurisprudencia de “Madorrán”, til</w:t>
      </w:r>
      <w:r w:rsidR="004945D9" w:rsidRPr="000A2EB9">
        <w:rPr>
          <w:bCs/>
          <w:lang w:val="es-ES"/>
        </w:rPr>
        <w:t>dó</w:t>
      </w:r>
      <w:r w:rsidRPr="000A2EB9">
        <w:rPr>
          <w:bCs/>
          <w:lang w:val="es-ES"/>
        </w:rPr>
        <w:t xml:space="preserve"> de inconstitucional el art. 16 inciso c) del Convenio Colectivo de Trabajo General para la Administración Pública Nacional (homologado por decreto 214/2006) y declar</w:t>
      </w:r>
      <w:r w:rsidR="004945D9" w:rsidRPr="000A2EB9">
        <w:rPr>
          <w:bCs/>
          <w:lang w:val="es-ES"/>
        </w:rPr>
        <w:t>ó</w:t>
      </w:r>
      <w:r w:rsidRPr="000A2EB9">
        <w:rPr>
          <w:bCs/>
          <w:lang w:val="es-ES"/>
        </w:rPr>
        <w:t xml:space="preserve"> nulo el despido sufrido, ordenando </w:t>
      </w:r>
      <w:r w:rsidR="004945D9" w:rsidRPr="000A2EB9">
        <w:rPr>
          <w:bCs/>
          <w:lang w:val="es-ES"/>
        </w:rPr>
        <w:t>la</w:t>
      </w:r>
      <w:r w:rsidRPr="000A2EB9">
        <w:rPr>
          <w:bCs/>
          <w:lang w:val="es-ES"/>
        </w:rPr>
        <w:t xml:space="preserve"> reincorporación</w:t>
      </w:r>
      <w:r w:rsidR="004945D9" w:rsidRPr="000A2EB9">
        <w:rPr>
          <w:bCs/>
          <w:lang w:val="es-ES"/>
        </w:rPr>
        <w:t xml:space="preserve"> del agente.</w:t>
      </w:r>
    </w:p>
    <w:p w14:paraId="33D20D75" w14:textId="743F70FA" w:rsidR="005A5613" w:rsidRPr="000A2EB9" w:rsidRDefault="007327B9" w:rsidP="005A5613">
      <w:pPr>
        <w:spacing w:line="360" w:lineRule="auto"/>
        <w:ind w:firstLine="720"/>
        <w:jc w:val="both"/>
        <w:rPr>
          <w:bCs/>
          <w:lang w:val="es-ES"/>
        </w:rPr>
      </w:pPr>
      <w:r w:rsidRPr="000A2EB9">
        <w:rPr>
          <w:bCs/>
          <w:lang w:val="es-ES"/>
        </w:rPr>
        <w:t>La Corte Federal descalific</w:t>
      </w:r>
      <w:r w:rsidR="004945D9" w:rsidRPr="000A2EB9">
        <w:rPr>
          <w:bCs/>
          <w:lang w:val="es-ES"/>
        </w:rPr>
        <w:t>ó</w:t>
      </w:r>
      <w:r w:rsidRPr="000A2EB9">
        <w:rPr>
          <w:bCs/>
          <w:lang w:val="es-ES"/>
        </w:rPr>
        <w:t xml:space="preserve"> la decisión de la Cámara </w:t>
      </w:r>
      <w:r w:rsidR="004945D9" w:rsidRPr="000A2EB9">
        <w:rPr>
          <w:bCs/>
          <w:lang w:val="es-ES"/>
        </w:rPr>
        <w:t>endilgándole</w:t>
      </w:r>
      <w:r w:rsidRPr="000A2EB9">
        <w:rPr>
          <w:bCs/>
          <w:lang w:val="es-ES"/>
        </w:rPr>
        <w:t xml:space="preserve"> arbitrari</w:t>
      </w:r>
      <w:r w:rsidR="004945D9" w:rsidRPr="000A2EB9">
        <w:rPr>
          <w:bCs/>
          <w:lang w:val="es-ES"/>
        </w:rPr>
        <w:t>ed</w:t>
      </w:r>
      <w:r w:rsidRPr="000A2EB9">
        <w:rPr>
          <w:bCs/>
          <w:lang w:val="es-ES"/>
        </w:rPr>
        <w:t>a</w:t>
      </w:r>
      <w:r w:rsidR="004945D9" w:rsidRPr="000A2EB9">
        <w:rPr>
          <w:bCs/>
          <w:lang w:val="es-ES"/>
        </w:rPr>
        <w:t>d</w:t>
      </w:r>
      <w:r w:rsidRPr="000A2EB9">
        <w:rPr>
          <w:bCs/>
          <w:lang w:val="es-ES"/>
        </w:rPr>
        <w:t xml:space="preserve">, </w:t>
      </w:r>
      <w:r w:rsidR="005A5613" w:rsidRPr="000A2EB9">
        <w:rPr>
          <w:bCs/>
          <w:lang w:val="es-ES"/>
        </w:rPr>
        <w:t>con 2 argumentos. El primero de orden meramente formal, ya que le reprocha al Tribunal a quo no haber analizado una de las defensas que planteara la demandada en orden a la naturaleza jurídica del ente empleador (</w:t>
      </w:r>
      <w:r w:rsidR="005A5613" w:rsidRPr="000A2EB9">
        <w:rPr>
          <w:rStyle w:val="Refdenotaalpie"/>
          <w:bCs/>
          <w:lang w:val="es-ES"/>
        </w:rPr>
        <w:footnoteReference w:id="40"/>
      </w:r>
      <w:r w:rsidR="005A5613" w:rsidRPr="000A2EB9">
        <w:rPr>
          <w:bCs/>
          <w:lang w:val="es-ES"/>
        </w:rPr>
        <w:t>).</w:t>
      </w:r>
    </w:p>
    <w:p w14:paraId="0B45B81C" w14:textId="77777777" w:rsidR="004945D9" w:rsidRPr="000A2EB9" w:rsidRDefault="00314DB1" w:rsidP="005A5613">
      <w:pPr>
        <w:spacing w:line="360" w:lineRule="auto"/>
        <w:ind w:firstLine="720"/>
        <w:jc w:val="both"/>
        <w:rPr>
          <w:bCs/>
          <w:lang w:val="es-ES"/>
        </w:rPr>
      </w:pPr>
      <w:r w:rsidRPr="000A2EB9">
        <w:rPr>
          <w:bCs/>
          <w:lang w:val="es-ES"/>
        </w:rPr>
        <w:lastRenderedPageBreak/>
        <w:t>El segundo argumento, en cambio, es fundamental y se podría decir que introduce una excepción a la doctrina sentada en “Madorrán” de que todo empleado público goza de la garantía constitucional a la estabilidad propia</w:t>
      </w:r>
      <w:r w:rsidR="0069749A" w:rsidRPr="000A2EB9">
        <w:rPr>
          <w:bCs/>
          <w:lang w:val="es-ES"/>
        </w:rPr>
        <w:t xml:space="preserve">. </w:t>
      </w:r>
    </w:p>
    <w:p w14:paraId="21A732BE" w14:textId="28958616" w:rsidR="005A5613" w:rsidRPr="000A2EB9" w:rsidRDefault="0069749A" w:rsidP="005A5613">
      <w:pPr>
        <w:spacing w:line="360" w:lineRule="auto"/>
        <w:ind w:firstLine="720"/>
        <w:jc w:val="both"/>
        <w:rPr>
          <w:bCs/>
          <w:lang w:val="es-ES"/>
        </w:rPr>
      </w:pPr>
      <w:r w:rsidRPr="000A2EB9">
        <w:rPr>
          <w:bCs/>
          <w:lang w:val="es-ES"/>
        </w:rPr>
        <w:t>En efecto, el Máximo Tribunal de la República Argentina también le endilga al fallo en revisión haber “</w:t>
      </w:r>
      <w:r w:rsidR="005A5613" w:rsidRPr="000A2EB9">
        <w:rPr>
          <w:bCs/>
          <w:i/>
          <w:iCs/>
          <w:lang w:val="es-ES"/>
        </w:rPr>
        <w:t>soslayado ponderar que el actor había afirmado al demandar que ingresó a trabajar para la demandada el 25 de noviembre de 2004 mediante la suscripción de un contrato a plazo fijo que fue renovado en sucesivas ocasiones por más de 5 a</w:t>
      </w:r>
      <w:r w:rsidRPr="000A2EB9">
        <w:rPr>
          <w:bCs/>
          <w:i/>
          <w:iCs/>
          <w:lang w:val="es-ES"/>
        </w:rPr>
        <w:t>ño</w:t>
      </w:r>
      <w:r w:rsidR="005A5613" w:rsidRPr="000A2EB9">
        <w:rPr>
          <w:bCs/>
          <w:i/>
          <w:iCs/>
          <w:lang w:val="es-ES"/>
        </w:rPr>
        <w:t>s</w:t>
      </w:r>
      <w:r w:rsidRPr="000A2EB9">
        <w:rPr>
          <w:bCs/>
          <w:i/>
          <w:iCs/>
          <w:lang w:val="es-ES"/>
        </w:rPr>
        <w:t xml:space="preserve">” </w:t>
      </w:r>
      <w:r w:rsidRPr="000A2EB9">
        <w:rPr>
          <w:bCs/>
          <w:lang w:val="es-ES"/>
        </w:rPr>
        <w:t xml:space="preserve">y esa circunstancia, a criterio de la Corte Federal, es relevante ya que tal modalidad de la contratación encuadra en </w:t>
      </w:r>
      <w:r w:rsidR="005A5613" w:rsidRPr="000A2EB9">
        <w:rPr>
          <w:bCs/>
          <w:lang w:val="es-ES"/>
        </w:rPr>
        <w:t>el art</w:t>
      </w:r>
      <w:r w:rsidRPr="000A2EB9">
        <w:rPr>
          <w:bCs/>
          <w:lang w:val="es-ES"/>
        </w:rPr>
        <w:t>.</w:t>
      </w:r>
      <w:r w:rsidR="005A5613" w:rsidRPr="000A2EB9">
        <w:rPr>
          <w:bCs/>
          <w:lang w:val="es-ES"/>
        </w:rPr>
        <w:t xml:space="preserve"> 90 in fine de la L</w:t>
      </w:r>
      <w:r w:rsidRPr="000A2EB9">
        <w:rPr>
          <w:bCs/>
          <w:lang w:val="es-ES"/>
        </w:rPr>
        <w:t xml:space="preserve">ey de </w:t>
      </w:r>
      <w:r w:rsidR="005A5613" w:rsidRPr="000A2EB9">
        <w:rPr>
          <w:bCs/>
          <w:lang w:val="es-ES"/>
        </w:rPr>
        <w:t>C</w:t>
      </w:r>
      <w:r w:rsidRPr="000A2EB9">
        <w:rPr>
          <w:bCs/>
          <w:lang w:val="es-ES"/>
        </w:rPr>
        <w:t xml:space="preserve">ontrato de </w:t>
      </w:r>
      <w:r w:rsidR="005A5613" w:rsidRPr="000A2EB9">
        <w:rPr>
          <w:bCs/>
          <w:lang w:val="es-ES"/>
        </w:rPr>
        <w:t>T</w:t>
      </w:r>
      <w:r w:rsidRPr="000A2EB9">
        <w:rPr>
          <w:bCs/>
          <w:lang w:val="es-ES"/>
        </w:rPr>
        <w:t>rabajo y permite considerar que “</w:t>
      </w:r>
      <w:r w:rsidR="005A5613" w:rsidRPr="000A2EB9">
        <w:rPr>
          <w:bCs/>
          <w:i/>
          <w:iCs/>
          <w:lang w:val="es-ES"/>
        </w:rPr>
        <w:t>la vinculación que ligó a las partes debió ser considerado como de plazo indefinido, siempre dentro del marco de la ley laboral común</w:t>
      </w:r>
      <w:r w:rsidRPr="000A2EB9">
        <w:rPr>
          <w:bCs/>
          <w:lang w:val="es-ES"/>
        </w:rPr>
        <w:t>”</w:t>
      </w:r>
      <w:r w:rsidR="005A5613" w:rsidRPr="000A2EB9">
        <w:rPr>
          <w:bCs/>
          <w:lang w:val="es-ES"/>
        </w:rPr>
        <w:t>.</w:t>
      </w:r>
    </w:p>
    <w:p w14:paraId="5A0A2F32" w14:textId="4FBA7BC0" w:rsidR="0069749A" w:rsidRPr="000A2EB9" w:rsidRDefault="0069749A" w:rsidP="005A5613">
      <w:pPr>
        <w:spacing w:line="360" w:lineRule="auto"/>
        <w:ind w:firstLine="720"/>
        <w:jc w:val="both"/>
        <w:rPr>
          <w:bCs/>
          <w:lang w:val="es-ES"/>
        </w:rPr>
      </w:pPr>
      <w:r w:rsidRPr="000A2EB9">
        <w:rPr>
          <w:bCs/>
          <w:lang w:val="es-ES"/>
        </w:rPr>
        <w:t>Dicho en otras palabras, el Alto Tribunal advirtió que, mientras Madorrán y Ruiz eran empleados públicos de planta permanente, Luque había sido contratado por tiempo determinado, mediante contratos a plazo fijo en los términos permitidos por el art. 90 de la Ley de Contrato de Trabajo, aplicable a la demandada por la suscripción de un Convenio Colectivo en los términos antes explicados.</w:t>
      </w:r>
    </w:p>
    <w:p w14:paraId="59621A19" w14:textId="10321492" w:rsidR="007327B9" w:rsidRPr="000A2EB9" w:rsidRDefault="0069749A" w:rsidP="005A5613">
      <w:pPr>
        <w:spacing w:line="360" w:lineRule="auto"/>
        <w:ind w:firstLine="720"/>
        <w:jc w:val="both"/>
        <w:rPr>
          <w:bCs/>
          <w:lang w:val="es-ES"/>
        </w:rPr>
      </w:pPr>
      <w:r w:rsidRPr="000A2EB9">
        <w:rPr>
          <w:bCs/>
          <w:lang w:val="es-ES"/>
        </w:rPr>
        <w:t>En efecto, en el considerando 6 de esta decisión, la Corte expresamente apunta que “</w:t>
      </w:r>
      <w:r w:rsidR="005A5613" w:rsidRPr="000A2EB9">
        <w:rPr>
          <w:bCs/>
          <w:i/>
          <w:iCs/>
          <w:lang w:val="es-ES"/>
        </w:rPr>
        <w:t>las circunstancias expuestas revelan que las cuestiones planteadas en el sub examine difieran de las que fueron examinadas por esta Corte en la causa Madorrán, desde que en este precedente se trató de un empleado público de planta permanente que, como tal, gozaba de la estabilidad propia de los agentes estatales, garantizada por el art</w:t>
      </w:r>
      <w:r w:rsidRPr="000A2EB9">
        <w:rPr>
          <w:bCs/>
          <w:i/>
          <w:iCs/>
          <w:lang w:val="es-ES"/>
        </w:rPr>
        <w:t>.</w:t>
      </w:r>
      <w:r w:rsidR="005A5613" w:rsidRPr="000A2EB9">
        <w:rPr>
          <w:bCs/>
          <w:i/>
          <w:iCs/>
          <w:lang w:val="es-ES"/>
        </w:rPr>
        <w:t xml:space="preserve"> 14 bis de la Constitución Nacional</w:t>
      </w:r>
      <w:r w:rsidRPr="000A2EB9">
        <w:rPr>
          <w:bCs/>
          <w:lang w:val="es-ES"/>
        </w:rPr>
        <w:t>”</w:t>
      </w:r>
      <w:r w:rsidR="005A5613" w:rsidRPr="000A2EB9">
        <w:rPr>
          <w:bCs/>
          <w:lang w:val="es-ES"/>
        </w:rPr>
        <w:t>.</w:t>
      </w:r>
    </w:p>
    <w:p w14:paraId="635CD14E" w14:textId="101E4005" w:rsidR="00F350B1" w:rsidRPr="000A2EB9" w:rsidRDefault="0069749A" w:rsidP="00F350B1">
      <w:pPr>
        <w:spacing w:line="360" w:lineRule="auto"/>
        <w:ind w:firstLine="720"/>
        <w:jc w:val="both"/>
        <w:rPr>
          <w:bCs/>
          <w:lang w:val="es-ES"/>
        </w:rPr>
      </w:pPr>
      <w:r w:rsidRPr="000A2EB9">
        <w:rPr>
          <w:bCs/>
          <w:lang w:val="es-ES"/>
        </w:rPr>
        <w:t>En definitiva, con la firma de los jueces Lorenzetti, Maqueda y Highton, se dejó sin efecto la sentencia de la Cámara por considerarla arbitraria y se mandó dictar un nuevo fallo.</w:t>
      </w:r>
    </w:p>
    <w:p w14:paraId="7AD68628" w14:textId="22C9F04D" w:rsidR="00F350B1" w:rsidRPr="000A2EB9" w:rsidRDefault="0069749A" w:rsidP="00D71636">
      <w:pPr>
        <w:spacing w:line="360" w:lineRule="auto"/>
        <w:jc w:val="both"/>
        <w:rPr>
          <w:bCs/>
          <w:lang w:val="es-ES"/>
        </w:rPr>
      </w:pPr>
      <w:r w:rsidRPr="000A2EB9">
        <w:rPr>
          <w:bCs/>
          <w:lang w:val="es-ES"/>
        </w:rPr>
        <w:tab/>
        <w:t xml:space="preserve">Más allá de </w:t>
      </w:r>
      <w:r w:rsidR="004945D9" w:rsidRPr="000A2EB9">
        <w:rPr>
          <w:bCs/>
          <w:lang w:val="es-ES"/>
        </w:rPr>
        <w:t>l</w:t>
      </w:r>
      <w:r w:rsidRPr="000A2EB9">
        <w:rPr>
          <w:bCs/>
          <w:lang w:val="es-ES"/>
        </w:rPr>
        <w:t xml:space="preserve">as peculiaridades </w:t>
      </w:r>
      <w:r w:rsidR="004945D9" w:rsidRPr="000A2EB9">
        <w:rPr>
          <w:bCs/>
          <w:lang w:val="es-ES"/>
        </w:rPr>
        <w:t xml:space="preserve">de este caso que tornan opinable la decisión de la Corte Suprema, </w:t>
      </w:r>
      <w:r w:rsidRPr="000A2EB9">
        <w:rPr>
          <w:bCs/>
          <w:lang w:val="es-ES"/>
        </w:rPr>
        <w:t xml:space="preserve">lo cierto es </w:t>
      </w:r>
      <w:r w:rsidR="004945D9" w:rsidRPr="000A2EB9">
        <w:rPr>
          <w:bCs/>
          <w:lang w:val="es-ES"/>
        </w:rPr>
        <w:t xml:space="preserve">lo resuelto </w:t>
      </w:r>
      <w:r w:rsidRPr="000A2EB9">
        <w:rPr>
          <w:bCs/>
          <w:lang w:val="es-ES"/>
        </w:rPr>
        <w:t>constituye una ratificación implícita de la doctrina de los casos “Madorrán” y “Ruiz” y allí radica su relevancia a los fines de este estudio.</w:t>
      </w:r>
    </w:p>
    <w:p w14:paraId="4C59BCCC" w14:textId="77777777" w:rsidR="00C177C4" w:rsidRPr="000A2EB9" w:rsidRDefault="00C177C4" w:rsidP="00D71636">
      <w:pPr>
        <w:spacing w:line="360" w:lineRule="auto"/>
        <w:jc w:val="both"/>
        <w:rPr>
          <w:b/>
          <w:lang w:val="es-ES"/>
        </w:rPr>
      </w:pPr>
    </w:p>
    <w:p w14:paraId="6327A361" w14:textId="798DB4B0" w:rsidR="004945D9" w:rsidRPr="000A2EB9" w:rsidRDefault="002F5665" w:rsidP="00D71636">
      <w:pPr>
        <w:spacing w:line="360" w:lineRule="auto"/>
        <w:jc w:val="both"/>
        <w:rPr>
          <w:b/>
          <w:lang w:val="es-ES"/>
        </w:rPr>
      </w:pPr>
      <w:r w:rsidRPr="000A2EB9">
        <w:rPr>
          <w:b/>
          <w:lang w:val="es-ES"/>
        </w:rPr>
        <w:t>C</w:t>
      </w:r>
      <w:r w:rsidR="004945D9" w:rsidRPr="000A2EB9">
        <w:rPr>
          <w:b/>
          <w:lang w:val="es-ES"/>
        </w:rPr>
        <w:t xml:space="preserve">) </w:t>
      </w:r>
      <w:r w:rsidRPr="000A2EB9">
        <w:rPr>
          <w:b/>
          <w:lang w:val="es-ES"/>
        </w:rPr>
        <w:t>2.</w:t>
      </w:r>
      <w:r w:rsidRPr="000A2EB9">
        <w:rPr>
          <w:b/>
          <w:lang w:val="es-ES"/>
        </w:rPr>
        <w:tab/>
      </w:r>
      <w:r w:rsidR="004945D9" w:rsidRPr="000A2EB9">
        <w:rPr>
          <w:b/>
          <w:lang w:val="es-ES"/>
        </w:rPr>
        <w:t>Los “contratados” de la Administración</w:t>
      </w:r>
      <w:r w:rsidR="00C170E6" w:rsidRPr="000A2EB9">
        <w:rPr>
          <w:b/>
          <w:lang w:val="es-ES"/>
        </w:rPr>
        <w:t>.</w:t>
      </w:r>
      <w:r w:rsidR="00C170E6" w:rsidRPr="000A2EB9">
        <w:rPr>
          <w:b/>
          <w:lang w:val="es-ES"/>
        </w:rPr>
        <w:tab/>
      </w:r>
    </w:p>
    <w:p w14:paraId="39366264" w14:textId="5946C4AA" w:rsidR="0069749A" w:rsidRPr="000A2EB9" w:rsidRDefault="004945D9" w:rsidP="00D71636">
      <w:pPr>
        <w:spacing w:line="360" w:lineRule="auto"/>
        <w:jc w:val="both"/>
        <w:rPr>
          <w:bCs/>
          <w:lang w:val="es-ES"/>
        </w:rPr>
      </w:pPr>
      <w:r w:rsidRPr="000A2EB9">
        <w:rPr>
          <w:bCs/>
          <w:lang w:val="es-ES"/>
        </w:rPr>
        <w:t xml:space="preserve"> </w:t>
      </w:r>
      <w:r w:rsidRPr="000A2EB9">
        <w:rPr>
          <w:bCs/>
          <w:lang w:val="es-ES"/>
        </w:rPr>
        <w:tab/>
      </w:r>
      <w:r w:rsidR="00C170E6" w:rsidRPr="000A2EB9">
        <w:rPr>
          <w:bCs/>
          <w:lang w:val="es-ES"/>
        </w:rPr>
        <w:t>Describiré ahora decisiones del Más Alto Tribunal argentino vinculadas al empleo público pero en situaciones especialmente particulares, que requieren una breve explicación previa.</w:t>
      </w:r>
    </w:p>
    <w:p w14:paraId="436D8CC6" w14:textId="0175C04C" w:rsidR="00C170E6" w:rsidRPr="000A2EB9" w:rsidRDefault="00C170E6" w:rsidP="00D71636">
      <w:pPr>
        <w:spacing w:line="360" w:lineRule="auto"/>
        <w:jc w:val="both"/>
        <w:rPr>
          <w:bCs/>
          <w:lang w:val="es-ES"/>
        </w:rPr>
      </w:pPr>
      <w:r w:rsidRPr="000A2EB9">
        <w:rPr>
          <w:bCs/>
          <w:lang w:val="es-ES"/>
        </w:rPr>
        <w:tab/>
        <w:t xml:space="preserve">Se trata del problema de “los contratados de la Administración Pública”, cuestión que se generó ante una práctica </w:t>
      </w:r>
      <w:r w:rsidR="004945D9" w:rsidRPr="000A2EB9">
        <w:rPr>
          <w:bCs/>
          <w:lang w:val="es-ES"/>
        </w:rPr>
        <w:t>estatal</w:t>
      </w:r>
      <w:r w:rsidRPr="000A2EB9">
        <w:rPr>
          <w:bCs/>
          <w:lang w:val="es-ES"/>
        </w:rPr>
        <w:t xml:space="preserve"> poco ortodoxa utilizada por los 3 poderes del Estado </w:t>
      </w:r>
      <w:r w:rsidR="004945D9" w:rsidRPr="000A2EB9">
        <w:rPr>
          <w:bCs/>
          <w:lang w:val="es-ES"/>
        </w:rPr>
        <w:t xml:space="preserve">tanto en el plano </w:t>
      </w:r>
      <w:r w:rsidRPr="000A2EB9">
        <w:rPr>
          <w:bCs/>
          <w:lang w:val="es-ES"/>
        </w:rPr>
        <w:t>nacional</w:t>
      </w:r>
      <w:r w:rsidR="004945D9" w:rsidRPr="000A2EB9">
        <w:rPr>
          <w:bCs/>
          <w:lang w:val="es-ES"/>
        </w:rPr>
        <w:t xml:space="preserve"> como </w:t>
      </w:r>
      <w:r w:rsidRPr="000A2EB9">
        <w:rPr>
          <w:bCs/>
          <w:lang w:val="es-ES"/>
        </w:rPr>
        <w:t xml:space="preserve"> provincial y municipal</w:t>
      </w:r>
      <w:r w:rsidR="004945D9" w:rsidRPr="000A2EB9">
        <w:rPr>
          <w:bCs/>
          <w:lang w:val="es-ES"/>
        </w:rPr>
        <w:t>,</w:t>
      </w:r>
      <w:r w:rsidRPr="000A2EB9">
        <w:rPr>
          <w:bCs/>
          <w:lang w:val="es-ES"/>
        </w:rPr>
        <w:t xml:space="preserve"> para eludir los congelamientos de vacantes en el empleo público impuestos por diversas y sucesivas leyes de emergencia económica, especialmente a partir del año 1991</w:t>
      </w:r>
      <w:r w:rsidR="004945D9" w:rsidRPr="000A2EB9">
        <w:rPr>
          <w:bCs/>
          <w:lang w:val="es-ES"/>
        </w:rPr>
        <w:t>.</w:t>
      </w:r>
    </w:p>
    <w:p w14:paraId="21CBEE12" w14:textId="4C5F72A1" w:rsidR="00C170E6" w:rsidRPr="000A2EB9" w:rsidRDefault="00C170E6" w:rsidP="00D71636">
      <w:pPr>
        <w:spacing w:line="360" w:lineRule="auto"/>
        <w:jc w:val="both"/>
        <w:rPr>
          <w:bCs/>
          <w:lang w:val="es-ES"/>
        </w:rPr>
      </w:pPr>
      <w:r w:rsidRPr="000A2EB9">
        <w:rPr>
          <w:bCs/>
          <w:lang w:val="es-ES"/>
        </w:rPr>
        <w:tab/>
      </w:r>
      <w:r w:rsidR="009677F4" w:rsidRPr="000A2EB9">
        <w:rPr>
          <w:bCs/>
          <w:lang w:val="es-ES"/>
        </w:rPr>
        <w:t xml:space="preserve">Cabe comentar aquí que en la República Argentina, en el orden nacional como también en los órdenes provinciales y municipales, los empleados públicos deben ser </w:t>
      </w:r>
      <w:r w:rsidR="009677F4" w:rsidRPr="000A2EB9">
        <w:rPr>
          <w:bCs/>
          <w:lang w:val="es-ES"/>
        </w:rPr>
        <w:lastRenderedPageBreak/>
        <w:t xml:space="preserve">designados por un acto administrativo, para llenar </w:t>
      </w:r>
      <w:r w:rsidR="004945D9" w:rsidRPr="000A2EB9">
        <w:rPr>
          <w:bCs/>
          <w:lang w:val="es-ES"/>
        </w:rPr>
        <w:t xml:space="preserve">exclusivamente </w:t>
      </w:r>
      <w:r w:rsidR="009677F4" w:rsidRPr="000A2EB9">
        <w:rPr>
          <w:bCs/>
          <w:lang w:val="es-ES"/>
        </w:rPr>
        <w:t>cargos o puestos previstos en las plantillas de los respectivos organismos y con atribución presupuestaria específica.</w:t>
      </w:r>
    </w:p>
    <w:p w14:paraId="1103B4B1" w14:textId="2EBE0E85" w:rsidR="009677F4" w:rsidRPr="000A2EB9" w:rsidRDefault="009677F4" w:rsidP="00D71636">
      <w:pPr>
        <w:spacing w:line="360" w:lineRule="auto"/>
        <w:jc w:val="both"/>
        <w:rPr>
          <w:bCs/>
          <w:lang w:val="es-ES"/>
        </w:rPr>
      </w:pPr>
      <w:r w:rsidRPr="000A2EB9">
        <w:rPr>
          <w:bCs/>
          <w:lang w:val="es-ES"/>
        </w:rPr>
        <w:tab/>
        <w:t>Al no ser permitido reemplazar a empleados jubilados, fallecidos</w:t>
      </w:r>
      <w:r w:rsidR="00DE77F7" w:rsidRPr="000A2EB9">
        <w:rPr>
          <w:bCs/>
          <w:lang w:val="es-ES"/>
        </w:rPr>
        <w:t>, cesanteados</w:t>
      </w:r>
      <w:r w:rsidRPr="000A2EB9">
        <w:rPr>
          <w:bCs/>
          <w:lang w:val="es-ES"/>
        </w:rPr>
        <w:t xml:space="preserve"> o renunciantes </w:t>
      </w:r>
      <w:r w:rsidR="00DE77F7" w:rsidRPr="000A2EB9">
        <w:rPr>
          <w:bCs/>
          <w:lang w:val="es-ES"/>
        </w:rPr>
        <w:t>en razón d</w:t>
      </w:r>
      <w:r w:rsidRPr="000A2EB9">
        <w:rPr>
          <w:bCs/>
          <w:lang w:val="es-ES"/>
        </w:rPr>
        <w:t xml:space="preserve">el “congelamiento de vacantes”, muchos funcionarios jerárquicos </w:t>
      </w:r>
      <w:r w:rsidR="002F30D3" w:rsidRPr="000A2EB9">
        <w:rPr>
          <w:bCs/>
          <w:lang w:val="es-ES"/>
        </w:rPr>
        <w:t>decidieron utilizar fondos presupuestarios previstos con distintas finalidades para pagar los sueldos de personal al que se incorporó mediante meras contrataciones</w:t>
      </w:r>
      <w:r w:rsidR="00DE77F7" w:rsidRPr="000A2EB9">
        <w:rPr>
          <w:bCs/>
          <w:lang w:val="es-ES"/>
        </w:rPr>
        <w:t xml:space="preserve"> directas</w:t>
      </w:r>
      <w:r w:rsidR="002F30D3" w:rsidRPr="000A2EB9">
        <w:rPr>
          <w:bCs/>
          <w:lang w:val="es-ES"/>
        </w:rPr>
        <w:t xml:space="preserve">, </w:t>
      </w:r>
      <w:r w:rsidR="00DE77F7" w:rsidRPr="000A2EB9">
        <w:rPr>
          <w:bCs/>
          <w:lang w:val="es-ES"/>
        </w:rPr>
        <w:t xml:space="preserve">generalmente </w:t>
      </w:r>
      <w:r w:rsidR="002F30D3" w:rsidRPr="000A2EB9">
        <w:rPr>
          <w:bCs/>
          <w:lang w:val="es-ES"/>
        </w:rPr>
        <w:t>instrumentadas como locaciones de servicios</w:t>
      </w:r>
      <w:r w:rsidR="00DE77F7" w:rsidRPr="000A2EB9">
        <w:rPr>
          <w:bCs/>
          <w:lang w:val="es-ES"/>
        </w:rPr>
        <w:t xml:space="preserve"> y, en otros, merced a contratos a plazo fijo como quedó visto precedentemente en el caso “Luque”.</w:t>
      </w:r>
    </w:p>
    <w:p w14:paraId="4EC14938" w14:textId="0C7D3419" w:rsidR="002F30D3" w:rsidRPr="000A2EB9" w:rsidRDefault="002F30D3" w:rsidP="00D71636">
      <w:pPr>
        <w:spacing w:line="360" w:lineRule="auto"/>
        <w:jc w:val="both"/>
        <w:rPr>
          <w:bCs/>
          <w:lang w:val="es-ES"/>
        </w:rPr>
      </w:pPr>
      <w:r w:rsidRPr="000A2EB9">
        <w:rPr>
          <w:bCs/>
          <w:lang w:val="es-ES"/>
        </w:rPr>
        <w:tab/>
        <w:t xml:space="preserve">Esta práctica se hizo frecuente y, con el paso del tiempo, se presentó un gran problema cuando, por lo general, nuevos funcionarios jerárquicos prescindían de los servicios del personal así incorporado. Frente a los reclamos judiciales de los empleados que sufrieron esa situación, la Justicia concordó en la necesidad de darles algún tipo de protección, variando en los distintos Tribunales </w:t>
      </w:r>
      <w:r w:rsidR="00DE77F7" w:rsidRPr="000A2EB9">
        <w:rPr>
          <w:bCs/>
          <w:lang w:val="es-ES"/>
        </w:rPr>
        <w:t>(</w:t>
      </w:r>
      <w:r w:rsidR="00DE77F7" w:rsidRPr="000A2EB9">
        <w:rPr>
          <w:rStyle w:val="Refdenotaalpie"/>
          <w:bCs/>
          <w:lang w:val="es-ES"/>
        </w:rPr>
        <w:footnoteReference w:id="41"/>
      </w:r>
      <w:r w:rsidR="00DE77F7" w:rsidRPr="000A2EB9">
        <w:rPr>
          <w:bCs/>
          <w:lang w:val="es-ES"/>
        </w:rPr>
        <w:t xml:space="preserve">) </w:t>
      </w:r>
      <w:r w:rsidRPr="000A2EB9">
        <w:rPr>
          <w:bCs/>
          <w:lang w:val="es-ES"/>
        </w:rPr>
        <w:t>la fundamentación para esa tutela</w:t>
      </w:r>
      <w:r w:rsidR="00DE77F7" w:rsidRPr="000A2EB9">
        <w:rPr>
          <w:bCs/>
          <w:lang w:val="es-ES"/>
        </w:rPr>
        <w:t xml:space="preserve"> (</w:t>
      </w:r>
      <w:r w:rsidR="00DE77F7" w:rsidRPr="000A2EB9">
        <w:rPr>
          <w:rStyle w:val="Refdenotaalpie"/>
          <w:bCs/>
          <w:lang w:val="es-ES"/>
        </w:rPr>
        <w:footnoteReference w:id="42"/>
      </w:r>
      <w:r w:rsidR="00DE77F7" w:rsidRPr="000A2EB9">
        <w:rPr>
          <w:bCs/>
          <w:lang w:val="es-ES"/>
        </w:rPr>
        <w:t>)</w:t>
      </w:r>
      <w:r w:rsidRPr="000A2EB9">
        <w:rPr>
          <w:bCs/>
          <w:lang w:val="es-ES"/>
        </w:rPr>
        <w:t xml:space="preserve">. </w:t>
      </w:r>
    </w:p>
    <w:p w14:paraId="44992555" w14:textId="0C644A76" w:rsidR="002F30D3" w:rsidRPr="000A2EB9" w:rsidRDefault="002F30D3" w:rsidP="00D71636">
      <w:pPr>
        <w:spacing w:line="360" w:lineRule="auto"/>
        <w:jc w:val="both"/>
        <w:rPr>
          <w:bCs/>
          <w:lang w:val="es-ES"/>
        </w:rPr>
      </w:pPr>
      <w:r w:rsidRPr="000A2EB9">
        <w:rPr>
          <w:bCs/>
          <w:lang w:val="es-ES"/>
        </w:rPr>
        <w:tab/>
        <w:t>La Corte Suprema demoró mucho tiempo en resolver este grave problema puesto que los Tribunales, con la misma Corte incluida</w:t>
      </w:r>
      <w:r w:rsidR="00DE77F7" w:rsidRPr="000A2EB9">
        <w:rPr>
          <w:bCs/>
          <w:lang w:val="es-ES"/>
        </w:rPr>
        <w:t>,</w:t>
      </w:r>
      <w:r w:rsidRPr="000A2EB9">
        <w:rPr>
          <w:bCs/>
          <w:lang w:val="es-ES"/>
        </w:rPr>
        <w:t xml:space="preserve"> también habían recurrido a este tipo de contrataciones (</w:t>
      </w:r>
      <w:r w:rsidRPr="000A2EB9">
        <w:rPr>
          <w:rStyle w:val="Refdenotaalpie"/>
          <w:bCs/>
          <w:lang w:val="es-ES"/>
        </w:rPr>
        <w:footnoteReference w:id="43"/>
      </w:r>
      <w:r w:rsidRPr="000A2EB9">
        <w:rPr>
          <w:bCs/>
          <w:lang w:val="es-ES"/>
        </w:rPr>
        <w:t>).</w:t>
      </w:r>
    </w:p>
    <w:p w14:paraId="7C9B9396" w14:textId="584B04D6" w:rsidR="002F30D3" w:rsidRPr="000A2EB9" w:rsidRDefault="002F30D3" w:rsidP="002F30D3">
      <w:pPr>
        <w:spacing w:line="360" w:lineRule="auto"/>
        <w:jc w:val="both"/>
        <w:rPr>
          <w:bCs/>
          <w:lang w:val="es-ES"/>
        </w:rPr>
      </w:pPr>
      <w:r w:rsidRPr="000A2EB9">
        <w:rPr>
          <w:bCs/>
          <w:lang w:val="es-ES"/>
        </w:rPr>
        <w:tab/>
        <w:t xml:space="preserve">El 06/04/2010 el Máximo Tribunal argentino dictó 2 fallos en esta materia: </w:t>
      </w:r>
      <w:r w:rsidRPr="000A2EB9">
        <w:rPr>
          <w:b/>
          <w:lang w:val="es-ES"/>
        </w:rPr>
        <w:t>“R</w:t>
      </w:r>
      <w:r w:rsidR="00F350B1" w:rsidRPr="000A2EB9">
        <w:rPr>
          <w:b/>
          <w:lang w:val="es-ES"/>
        </w:rPr>
        <w:t>amos, José Luis c/Estado Nacional (Min</w:t>
      </w:r>
      <w:r w:rsidRPr="000A2EB9">
        <w:rPr>
          <w:b/>
          <w:lang w:val="es-ES"/>
        </w:rPr>
        <w:t>isterio</w:t>
      </w:r>
      <w:r w:rsidR="00F350B1" w:rsidRPr="000A2EB9">
        <w:rPr>
          <w:b/>
          <w:lang w:val="es-ES"/>
        </w:rPr>
        <w:t xml:space="preserve"> de Defensa-A</w:t>
      </w:r>
      <w:r w:rsidR="003B2C24" w:rsidRPr="000A2EB9">
        <w:rPr>
          <w:b/>
          <w:lang w:val="es-ES"/>
        </w:rPr>
        <w:t xml:space="preserve">rmada de la </w:t>
      </w:r>
      <w:r w:rsidR="00F350B1" w:rsidRPr="000A2EB9">
        <w:rPr>
          <w:b/>
          <w:lang w:val="es-ES"/>
        </w:rPr>
        <w:t>R</w:t>
      </w:r>
      <w:r w:rsidR="003B2C24" w:rsidRPr="000A2EB9">
        <w:rPr>
          <w:b/>
          <w:lang w:val="es-ES"/>
        </w:rPr>
        <w:t xml:space="preserve">epública </w:t>
      </w:r>
      <w:r w:rsidR="00F350B1" w:rsidRPr="000A2EB9">
        <w:rPr>
          <w:b/>
          <w:lang w:val="es-ES"/>
        </w:rPr>
        <w:t>A</w:t>
      </w:r>
      <w:r w:rsidR="003B2C24" w:rsidRPr="000A2EB9">
        <w:rPr>
          <w:b/>
          <w:lang w:val="es-ES"/>
        </w:rPr>
        <w:t>rgentina</w:t>
      </w:r>
      <w:r w:rsidR="00F350B1" w:rsidRPr="000A2EB9">
        <w:rPr>
          <w:b/>
          <w:lang w:val="es-ES"/>
        </w:rPr>
        <w:t>)</w:t>
      </w:r>
      <w:r w:rsidR="003B2C24" w:rsidRPr="000A2EB9">
        <w:rPr>
          <w:b/>
          <w:lang w:val="es-ES"/>
        </w:rPr>
        <w:t>”</w:t>
      </w:r>
      <w:r w:rsidRPr="000A2EB9">
        <w:rPr>
          <w:bCs/>
          <w:lang w:val="es-ES"/>
        </w:rPr>
        <w:t xml:space="preserve"> y </w:t>
      </w:r>
      <w:r w:rsidR="003B2C24" w:rsidRPr="000A2EB9">
        <w:rPr>
          <w:b/>
          <w:lang w:val="es-ES"/>
        </w:rPr>
        <w:t>“Sánchez, Carlos Próspero c/Auditoría General de la Nación”</w:t>
      </w:r>
      <w:r w:rsidR="003B2C24" w:rsidRPr="000A2EB9">
        <w:rPr>
          <w:bCs/>
          <w:lang w:val="es-ES"/>
        </w:rPr>
        <w:t xml:space="preserve">, con soluciones </w:t>
      </w:r>
      <w:r w:rsidR="00DE77F7" w:rsidRPr="000A2EB9">
        <w:rPr>
          <w:bCs/>
          <w:lang w:val="es-ES"/>
        </w:rPr>
        <w:t>diametralmente opuestas</w:t>
      </w:r>
      <w:r w:rsidR="00895231" w:rsidRPr="000A2EB9">
        <w:rPr>
          <w:bCs/>
          <w:lang w:val="es-ES"/>
        </w:rPr>
        <w:t xml:space="preserve">, merced a las cuales se resguardó la garantía constitucional de la estabilidad en el empleo y, con el segundo fallo, se pusieron los límites de operatividad de la doctrina sentada. </w:t>
      </w:r>
    </w:p>
    <w:p w14:paraId="6035570D" w14:textId="498FF7BB" w:rsidR="006D5BD7" w:rsidRPr="000A2EB9" w:rsidRDefault="003B2C24" w:rsidP="006D5BD7">
      <w:pPr>
        <w:spacing w:line="360" w:lineRule="auto"/>
        <w:jc w:val="both"/>
        <w:rPr>
          <w:bCs/>
          <w:lang w:val="es-ES"/>
        </w:rPr>
      </w:pPr>
      <w:r w:rsidRPr="000A2EB9">
        <w:rPr>
          <w:bCs/>
          <w:lang w:val="es-ES"/>
        </w:rPr>
        <w:tab/>
        <w:t>E</w:t>
      </w:r>
      <w:r w:rsidR="00895231" w:rsidRPr="000A2EB9">
        <w:rPr>
          <w:bCs/>
          <w:lang w:val="es-ES"/>
        </w:rPr>
        <w:t>n el primer caso, los hechos indican que e</w:t>
      </w:r>
      <w:r w:rsidRPr="000A2EB9">
        <w:rPr>
          <w:bCs/>
          <w:lang w:val="es-ES"/>
        </w:rPr>
        <w:t>l Sr. Ramos trabajó para la Armada Argentina durante 21 años, mediante una sucesión de contratos de locación de servicios renovados periódicamente</w:t>
      </w:r>
      <w:r w:rsidR="00DE77F7" w:rsidRPr="000A2EB9">
        <w:rPr>
          <w:bCs/>
          <w:lang w:val="es-ES"/>
        </w:rPr>
        <w:t>, habiendo ingresado</w:t>
      </w:r>
      <w:r w:rsidR="006D5BD7" w:rsidRPr="000A2EB9">
        <w:rPr>
          <w:bCs/>
          <w:lang w:val="es-ES"/>
        </w:rPr>
        <w:t xml:space="preserve"> el demandante como técnico en el año 1976, estando en un comienzo instrumentada la contratación como locación de obra </w:t>
      </w:r>
      <w:r w:rsidR="004B61E8" w:rsidRPr="000A2EB9">
        <w:rPr>
          <w:bCs/>
          <w:lang w:val="es-ES"/>
        </w:rPr>
        <w:t xml:space="preserve">mientras que </w:t>
      </w:r>
      <w:r w:rsidR="006D5BD7" w:rsidRPr="000A2EB9">
        <w:rPr>
          <w:bCs/>
          <w:lang w:val="es-ES"/>
        </w:rPr>
        <w:t xml:space="preserve">a partir del año 1981 </w:t>
      </w:r>
      <w:r w:rsidR="004B61E8" w:rsidRPr="000A2EB9">
        <w:rPr>
          <w:bCs/>
          <w:lang w:val="es-ES"/>
        </w:rPr>
        <w:t>la</w:t>
      </w:r>
      <w:r w:rsidR="006D5BD7" w:rsidRPr="000A2EB9">
        <w:rPr>
          <w:bCs/>
          <w:lang w:val="es-ES"/>
        </w:rPr>
        <w:t xml:space="preserve"> relación fue encuadrada en el Régimen para el Personal de Investigación y Desarrollo de las Fuerzas Armadas, aprobado por decreto 4381/73. Ese </w:t>
      </w:r>
      <w:r w:rsidR="004B61E8" w:rsidRPr="000A2EB9">
        <w:rPr>
          <w:bCs/>
          <w:lang w:val="es-ES"/>
        </w:rPr>
        <w:t>vínculo</w:t>
      </w:r>
      <w:r w:rsidR="006D5BD7" w:rsidRPr="000A2EB9">
        <w:rPr>
          <w:bCs/>
          <w:lang w:val="es-ES"/>
        </w:rPr>
        <w:t xml:space="preserve"> se </w:t>
      </w:r>
      <w:r w:rsidR="004B61E8" w:rsidRPr="000A2EB9">
        <w:rPr>
          <w:bCs/>
          <w:lang w:val="es-ES"/>
        </w:rPr>
        <w:t xml:space="preserve">mantuvo </w:t>
      </w:r>
      <w:r w:rsidR="006D5BD7" w:rsidRPr="000A2EB9">
        <w:rPr>
          <w:bCs/>
          <w:lang w:val="es-ES"/>
        </w:rPr>
        <w:t xml:space="preserve">durante 21 años hasta que en abril de 1998 el Director de Armamento del Personal Naval decidió resolver el vínculo con fundamento en las restricciones presupuestarias establecidas por </w:t>
      </w:r>
      <w:r w:rsidR="004B61E8" w:rsidRPr="000A2EB9">
        <w:rPr>
          <w:bCs/>
          <w:lang w:val="es-ES"/>
        </w:rPr>
        <w:t xml:space="preserve">el Presupuesto Nacional aprobado por </w:t>
      </w:r>
      <w:r w:rsidR="006D5BD7" w:rsidRPr="000A2EB9">
        <w:rPr>
          <w:bCs/>
          <w:lang w:val="es-ES"/>
        </w:rPr>
        <w:t>la ley 24.938.</w:t>
      </w:r>
    </w:p>
    <w:p w14:paraId="5CF7A151" w14:textId="77777777" w:rsidR="004B61E8" w:rsidRPr="000A2EB9" w:rsidRDefault="006D5BD7" w:rsidP="00895231">
      <w:pPr>
        <w:spacing w:line="360" w:lineRule="auto"/>
        <w:jc w:val="both"/>
        <w:rPr>
          <w:bCs/>
          <w:lang w:val="es-ES"/>
        </w:rPr>
      </w:pPr>
      <w:r w:rsidRPr="000A2EB9">
        <w:rPr>
          <w:bCs/>
          <w:lang w:val="es-ES"/>
        </w:rPr>
        <w:lastRenderedPageBreak/>
        <w:t xml:space="preserve"> </w:t>
      </w:r>
      <w:r w:rsidRPr="000A2EB9">
        <w:rPr>
          <w:bCs/>
          <w:lang w:val="es-ES"/>
        </w:rPr>
        <w:tab/>
      </w:r>
      <w:r w:rsidR="00895231" w:rsidRPr="000A2EB9">
        <w:rPr>
          <w:bCs/>
          <w:lang w:val="es-ES"/>
        </w:rPr>
        <w:t>L</w:t>
      </w:r>
      <w:r w:rsidR="003B2C24" w:rsidRPr="000A2EB9">
        <w:rPr>
          <w:bCs/>
          <w:lang w:val="es-ES"/>
        </w:rPr>
        <w:t xml:space="preserve">a Sala Tercera de la Cámara Federal de Apelaciones de La Plata confirmó </w:t>
      </w:r>
      <w:r w:rsidR="00895231" w:rsidRPr="000A2EB9">
        <w:rPr>
          <w:bCs/>
          <w:lang w:val="es-ES"/>
        </w:rPr>
        <w:t xml:space="preserve">la sentencia de primera instancia que había rechazado el pedido indemnizatorio deducido por el demandante y para ello la Cámara argumentó </w:t>
      </w:r>
      <w:r w:rsidR="003B2C24" w:rsidRPr="000A2EB9">
        <w:rPr>
          <w:bCs/>
          <w:lang w:val="es-ES"/>
        </w:rPr>
        <w:t xml:space="preserve">que el actor fue contratado en el marco del régimen autorizado por el artículo 17 del decreto 4381/73, que permite el ingreso de agentes mediante un contrato de locación de servicios, por una duración máxima de cinco años, y que no les confiere estabilidad en el empleo. </w:t>
      </w:r>
    </w:p>
    <w:p w14:paraId="26BF7A79" w14:textId="1C1105B1" w:rsidR="003B2C24" w:rsidRPr="000A2EB9" w:rsidRDefault="004B61E8" w:rsidP="00895231">
      <w:pPr>
        <w:spacing w:line="360" w:lineRule="auto"/>
        <w:jc w:val="both"/>
        <w:rPr>
          <w:bCs/>
          <w:lang w:val="es-ES"/>
        </w:rPr>
      </w:pPr>
      <w:r w:rsidRPr="000A2EB9">
        <w:rPr>
          <w:bCs/>
          <w:lang w:val="es-ES"/>
        </w:rPr>
        <w:t xml:space="preserve"> </w:t>
      </w:r>
      <w:r w:rsidRPr="000A2EB9">
        <w:rPr>
          <w:bCs/>
          <w:lang w:val="es-ES"/>
        </w:rPr>
        <w:tab/>
      </w:r>
      <w:r w:rsidR="003B2C24" w:rsidRPr="000A2EB9">
        <w:rPr>
          <w:bCs/>
          <w:lang w:val="es-ES"/>
        </w:rPr>
        <w:t>Dado que, como fue anticipado, esa duración máximo de los contratos fue superada en el caso del Sr. Ramos, la Cámara sostuvo que  “</w:t>
      </w:r>
      <w:r w:rsidR="003B2C24" w:rsidRPr="000A2EB9">
        <w:rPr>
          <w:bCs/>
          <w:i/>
          <w:iCs/>
          <w:lang w:val="es-ES"/>
        </w:rPr>
        <w:t>el hecho de que las contrataciones hubieran excedido el límite máximo de cinco años no tenía como consecuencia el nacimiento de un derecho a favor del actor para ser indemnizado</w:t>
      </w:r>
      <w:r w:rsidR="003B2C24" w:rsidRPr="000A2EB9">
        <w:rPr>
          <w:bCs/>
          <w:lang w:val="es-ES"/>
        </w:rPr>
        <w:t>” pues “</w:t>
      </w:r>
      <w:r w:rsidR="003B2C24" w:rsidRPr="000A2EB9">
        <w:rPr>
          <w:bCs/>
          <w:i/>
          <w:iCs/>
          <w:lang w:val="es-ES"/>
        </w:rPr>
        <w:t>el mero transcurso del tiempo no podía trastocar la situación de revista de quien había ingresado como personal no permanente, en un régimen de inestabilidad, y no había sido transferido a otra categoría por acto expreso de la administración</w:t>
      </w:r>
      <w:r w:rsidR="003B2C24" w:rsidRPr="000A2EB9">
        <w:rPr>
          <w:bCs/>
          <w:lang w:val="es-ES"/>
        </w:rPr>
        <w:t xml:space="preserve">”. </w:t>
      </w:r>
    </w:p>
    <w:p w14:paraId="4C39CEA2" w14:textId="257872C9" w:rsidR="00895231" w:rsidRPr="000A2EB9" w:rsidRDefault="006D5BD7" w:rsidP="00895231">
      <w:pPr>
        <w:spacing w:line="360" w:lineRule="auto"/>
        <w:jc w:val="both"/>
        <w:rPr>
          <w:bCs/>
          <w:lang w:val="es-ES"/>
        </w:rPr>
      </w:pPr>
      <w:r w:rsidRPr="000A2EB9">
        <w:rPr>
          <w:bCs/>
          <w:lang w:val="es-ES"/>
        </w:rPr>
        <w:tab/>
      </w:r>
      <w:r w:rsidR="00895231" w:rsidRPr="000A2EB9">
        <w:rPr>
          <w:bCs/>
          <w:lang w:val="es-ES"/>
        </w:rPr>
        <w:t xml:space="preserve">El </w:t>
      </w:r>
      <w:r w:rsidR="009D2FF7" w:rsidRPr="000A2EB9">
        <w:rPr>
          <w:bCs/>
          <w:lang w:val="es-ES"/>
        </w:rPr>
        <w:t xml:space="preserve">voto de la mayoría del Máximo Tribunal, formada por los ministros Lorenzetti, Highton, Petracchi y Argibay, </w:t>
      </w:r>
      <w:r w:rsidR="00895231" w:rsidRPr="000A2EB9">
        <w:rPr>
          <w:bCs/>
          <w:lang w:val="es-ES"/>
        </w:rPr>
        <w:t>com</w:t>
      </w:r>
      <w:r w:rsidR="004B61E8" w:rsidRPr="000A2EB9">
        <w:rPr>
          <w:bCs/>
          <w:lang w:val="es-ES"/>
        </w:rPr>
        <w:t>enzó</w:t>
      </w:r>
      <w:r w:rsidR="00895231" w:rsidRPr="000A2EB9">
        <w:rPr>
          <w:bCs/>
          <w:lang w:val="es-ES"/>
        </w:rPr>
        <w:t xml:space="preserve"> </w:t>
      </w:r>
      <w:r w:rsidR="004B61E8" w:rsidRPr="000A2EB9">
        <w:rPr>
          <w:bCs/>
          <w:lang w:val="es-ES"/>
        </w:rPr>
        <w:t>dando la</w:t>
      </w:r>
      <w:r w:rsidR="00895231" w:rsidRPr="000A2EB9">
        <w:rPr>
          <w:bCs/>
          <w:lang w:val="es-ES"/>
        </w:rPr>
        <w:t xml:space="preserve"> razón al </w:t>
      </w:r>
      <w:r w:rsidR="004B61E8" w:rsidRPr="000A2EB9">
        <w:rPr>
          <w:bCs/>
          <w:lang w:val="es-ES"/>
        </w:rPr>
        <w:t>recurren</w:t>
      </w:r>
      <w:r w:rsidR="00895231" w:rsidRPr="000A2EB9">
        <w:rPr>
          <w:bCs/>
          <w:lang w:val="es-ES"/>
        </w:rPr>
        <w:t>te, en cuanto demanda</w:t>
      </w:r>
      <w:r w:rsidR="004B61E8" w:rsidRPr="000A2EB9">
        <w:rPr>
          <w:bCs/>
          <w:lang w:val="es-ES"/>
        </w:rPr>
        <w:t>ra</w:t>
      </w:r>
      <w:r w:rsidR="00895231" w:rsidRPr="000A2EB9">
        <w:rPr>
          <w:bCs/>
          <w:lang w:val="es-ES"/>
        </w:rPr>
        <w:t xml:space="preserve"> protección constitucional contra el despido arbitrario, pues</w:t>
      </w:r>
      <w:r w:rsidR="004B61E8" w:rsidRPr="000A2EB9">
        <w:rPr>
          <w:bCs/>
          <w:lang w:val="es-ES"/>
        </w:rPr>
        <w:t xml:space="preserve"> </w:t>
      </w:r>
      <w:r w:rsidR="00895231" w:rsidRPr="000A2EB9">
        <w:rPr>
          <w:bCs/>
          <w:lang w:val="es-ES"/>
        </w:rPr>
        <w:t>el vínculo laboral que mantuvo con el Estado Nacional por el lapso de veintiún años no puede ser válidamente encuadrado en el régimen de contratación aprobado por el decreto 4831/73.</w:t>
      </w:r>
    </w:p>
    <w:p w14:paraId="3549CBB8" w14:textId="4F36F3C1" w:rsidR="00DE0DCE" w:rsidRPr="000A2EB9" w:rsidRDefault="00895231" w:rsidP="00DE0DCE">
      <w:pPr>
        <w:spacing w:line="360" w:lineRule="auto"/>
        <w:jc w:val="both"/>
        <w:rPr>
          <w:bCs/>
          <w:lang w:val="es-ES"/>
        </w:rPr>
      </w:pPr>
      <w:r w:rsidRPr="000A2EB9">
        <w:rPr>
          <w:bCs/>
          <w:lang w:val="es-ES"/>
        </w:rPr>
        <w:tab/>
        <w:t xml:space="preserve">El </w:t>
      </w:r>
      <w:r w:rsidR="009D2FF7" w:rsidRPr="000A2EB9">
        <w:rPr>
          <w:bCs/>
          <w:lang w:val="es-ES"/>
        </w:rPr>
        <w:t>voto mayoritario</w:t>
      </w:r>
      <w:r w:rsidR="00DE0DCE" w:rsidRPr="000A2EB9">
        <w:rPr>
          <w:bCs/>
          <w:lang w:val="es-ES"/>
        </w:rPr>
        <w:t xml:space="preserve"> señal</w:t>
      </w:r>
      <w:r w:rsidR="00014448" w:rsidRPr="000A2EB9">
        <w:rPr>
          <w:bCs/>
          <w:lang w:val="es-ES"/>
        </w:rPr>
        <w:t>ó</w:t>
      </w:r>
      <w:r w:rsidR="00DE0DCE" w:rsidRPr="000A2EB9">
        <w:rPr>
          <w:bCs/>
          <w:lang w:val="es-ES"/>
        </w:rPr>
        <w:t xml:space="preserve">, </w:t>
      </w:r>
      <w:r w:rsidR="00014448" w:rsidRPr="000A2EB9">
        <w:rPr>
          <w:bCs/>
          <w:lang w:val="es-ES"/>
        </w:rPr>
        <w:t xml:space="preserve">ingresando en el </w:t>
      </w:r>
      <w:r w:rsidR="00DE0DCE" w:rsidRPr="000A2EB9">
        <w:rPr>
          <w:bCs/>
          <w:lang w:val="es-ES"/>
        </w:rPr>
        <w:t>exam</w:t>
      </w:r>
      <w:r w:rsidR="00014448" w:rsidRPr="000A2EB9">
        <w:rPr>
          <w:bCs/>
          <w:lang w:val="es-ES"/>
        </w:rPr>
        <w:t>en de l</w:t>
      </w:r>
      <w:r w:rsidR="00DE0DCE" w:rsidRPr="000A2EB9">
        <w:rPr>
          <w:bCs/>
          <w:lang w:val="es-ES"/>
        </w:rPr>
        <w:t xml:space="preserve">a prueba, que del legajo personal de Ramos </w:t>
      </w:r>
      <w:r w:rsidR="00014448" w:rsidRPr="000A2EB9">
        <w:rPr>
          <w:bCs/>
          <w:lang w:val="es-ES"/>
        </w:rPr>
        <w:t>surge</w:t>
      </w:r>
      <w:r w:rsidR="00DE0DCE" w:rsidRPr="000A2EB9">
        <w:rPr>
          <w:bCs/>
          <w:lang w:val="es-ES"/>
        </w:rPr>
        <w:t xml:space="preserve"> que sus tareas carecían de la transitoriedad que supone el mencionado régimen de excepción; que era calificado y evaluado en forma anual; que se le reconocía la antigüedad en el empleo; y que se beneficiaba con los servicios sociales de su empleador, lo que deja al descubierto que el vínculo no fue, como parecía, una auténtica locación sino de subordinación. A estos hechos añadió la Corte Suprema que el invocado decreto 4381/73 autoriza a contratar personal para proyectos de investigación científica y desarrollo tecnológico, sin que esto genere derecho a indemnización por rescisión, pero esa norma limita la posibilidad de renovación de estos contratos a un máximo de cinco años.  </w:t>
      </w:r>
    </w:p>
    <w:p w14:paraId="3EB77638" w14:textId="77777777" w:rsidR="004B61E8" w:rsidRPr="000A2EB9" w:rsidRDefault="00014448" w:rsidP="009D2FF7">
      <w:pPr>
        <w:spacing w:line="360" w:lineRule="auto"/>
        <w:jc w:val="both"/>
        <w:rPr>
          <w:bCs/>
          <w:lang w:val="es-ES"/>
        </w:rPr>
      </w:pPr>
      <w:r w:rsidRPr="000A2EB9">
        <w:rPr>
          <w:bCs/>
          <w:lang w:val="es-ES"/>
        </w:rPr>
        <w:tab/>
        <w:t xml:space="preserve">Con ese cúmulo de circunstancias el </w:t>
      </w:r>
      <w:r w:rsidR="009D2FF7" w:rsidRPr="000A2EB9">
        <w:rPr>
          <w:bCs/>
          <w:lang w:val="es-ES"/>
        </w:rPr>
        <w:t xml:space="preserve">voto de la mayoría del </w:t>
      </w:r>
      <w:r w:rsidRPr="000A2EB9">
        <w:rPr>
          <w:bCs/>
          <w:lang w:val="es-ES"/>
        </w:rPr>
        <w:t>Máximo Tribunal argentino, por un lado, llegó a la dura conclusión que el Estado nacional “</w:t>
      </w:r>
      <w:r w:rsidR="00CD6B81" w:rsidRPr="000A2EB9">
        <w:rPr>
          <w:bCs/>
          <w:i/>
          <w:iCs/>
          <w:lang w:val="es-ES"/>
        </w:rPr>
        <w:t>utilizó figuras jurídicas aut</w:t>
      </w:r>
      <w:r w:rsidRPr="000A2EB9">
        <w:rPr>
          <w:bCs/>
          <w:i/>
          <w:iCs/>
          <w:lang w:val="es-ES"/>
        </w:rPr>
        <w:t>o</w:t>
      </w:r>
      <w:r w:rsidR="00CD6B81" w:rsidRPr="000A2EB9">
        <w:rPr>
          <w:bCs/>
          <w:i/>
          <w:iCs/>
          <w:lang w:val="es-ES"/>
        </w:rPr>
        <w:t>rizadas legalmente para casos excepcionales, con una evidente</w:t>
      </w:r>
      <w:r w:rsidRPr="000A2EB9">
        <w:rPr>
          <w:bCs/>
          <w:i/>
          <w:iCs/>
          <w:lang w:val="es-ES"/>
        </w:rPr>
        <w:t xml:space="preserve"> </w:t>
      </w:r>
      <w:r w:rsidR="00CD6B81" w:rsidRPr="000A2EB9">
        <w:rPr>
          <w:bCs/>
          <w:i/>
          <w:iCs/>
          <w:lang w:val="es-ES"/>
        </w:rPr>
        <w:t>desviación de poder que tuvo como objetivo encubrir una designación permanente bajo la apariencia de un contrato por</w:t>
      </w:r>
      <w:r w:rsidRPr="000A2EB9">
        <w:rPr>
          <w:bCs/>
          <w:i/>
          <w:iCs/>
          <w:lang w:val="es-ES"/>
        </w:rPr>
        <w:t xml:space="preserve"> </w:t>
      </w:r>
      <w:r w:rsidR="00CD6B81" w:rsidRPr="000A2EB9">
        <w:rPr>
          <w:bCs/>
          <w:i/>
          <w:iCs/>
          <w:lang w:val="es-ES"/>
        </w:rPr>
        <w:t>tiempo determinado</w:t>
      </w:r>
      <w:r w:rsidRPr="000A2EB9">
        <w:rPr>
          <w:bCs/>
          <w:lang w:val="es-ES"/>
        </w:rPr>
        <w:t>”</w:t>
      </w:r>
      <w:r w:rsidR="00CD6B81" w:rsidRPr="000A2EB9">
        <w:rPr>
          <w:bCs/>
          <w:lang w:val="es-ES"/>
        </w:rPr>
        <w:t>.</w:t>
      </w:r>
      <w:r w:rsidR="009D2FF7" w:rsidRPr="000A2EB9">
        <w:rPr>
          <w:bCs/>
          <w:lang w:val="es-ES"/>
        </w:rPr>
        <w:t xml:space="preserve"> </w:t>
      </w:r>
    </w:p>
    <w:p w14:paraId="52C07E82" w14:textId="5009ECB3" w:rsidR="00CD6B81" w:rsidRPr="000A2EB9" w:rsidRDefault="004B61E8" w:rsidP="009D2FF7">
      <w:pPr>
        <w:spacing w:line="360" w:lineRule="auto"/>
        <w:jc w:val="both"/>
        <w:rPr>
          <w:bCs/>
          <w:lang w:val="es-ES"/>
        </w:rPr>
      </w:pPr>
      <w:r w:rsidRPr="000A2EB9">
        <w:rPr>
          <w:bCs/>
          <w:lang w:val="es-ES"/>
        </w:rPr>
        <w:t xml:space="preserve"> </w:t>
      </w:r>
      <w:r w:rsidRPr="000A2EB9">
        <w:rPr>
          <w:bCs/>
          <w:lang w:val="es-ES"/>
        </w:rPr>
        <w:tab/>
      </w:r>
      <w:r w:rsidR="00014448" w:rsidRPr="000A2EB9">
        <w:rPr>
          <w:bCs/>
          <w:lang w:val="es-ES"/>
        </w:rPr>
        <w:t>Por otra parte, sost</w:t>
      </w:r>
      <w:r w:rsidR="009D2FF7" w:rsidRPr="000A2EB9">
        <w:rPr>
          <w:bCs/>
          <w:lang w:val="es-ES"/>
        </w:rPr>
        <w:t xml:space="preserve">uvieron esos magistrados </w:t>
      </w:r>
      <w:r w:rsidR="00014448" w:rsidRPr="000A2EB9">
        <w:rPr>
          <w:bCs/>
          <w:lang w:val="es-ES"/>
        </w:rPr>
        <w:t xml:space="preserve">que ese </w:t>
      </w:r>
      <w:r w:rsidR="00CD6B81" w:rsidRPr="000A2EB9">
        <w:rPr>
          <w:bCs/>
          <w:lang w:val="es-ES"/>
        </w:rPr>
        <w:t>comportamiento del</w:t>
      </w:r>
      <w:r w:rsidR="00014448" w:rsidRPr="000A2EB9">
        <w:rPr>
          <w:bCs/>
          <w:lang w:val="es-ES"/>
        </w:rPr>
        <w:t xml:space="preserve"> </w:t>
      </w:r>
      <w:r w:rsidR="00CD6B81" w:rsidRPr="000A2EB9">
        <w:rPr>
          <w:bCs/>
          <w:lang w:val="es-ES"/>
        </w:rPr>
        <w:t>Estado Nacional tuvo aptitud para generar en Ramos una</w:t>
      </w:r>
      <w:r w:rsidR="00014448" w:rsidRPr="000A2EB9">
        <w:rPr>
          <w:bCs/>
          <w:lang w:val="es-ES"/>
        </w:rPr>
        <w:t xml:space="preserve"> </w:t>
      </w:r>
      <w:r w:rsidR="00CD6B81" w:rsidRPr="000A2EB9">
        <w:rPr>
          <w:bCs/>
          <w:lang w:val="es-ES"/>
        </w:rPr>
        <w:t>legítima expectativa de permanencia laboral que merece la</w:t>
      </w:r>
      <w:r w:rsidR="00014448" w:rsidRPr="000A2EB9">
        <w:rPr>
          <w:bCs/>
          <w:lang w:val="es-ES"/>
        </w:rPr>
        <w:t xml:space="preserve"> </w:t>
      </w:r>
      <w:r w:rsidR="00CD6B81" w:rsidRPr="000A2EB9">
        <w:rPr>
          <w:bCs/>
          <w:lang w:val="es-ES"/>
        </w:rPr>
        <w:t>protección que el artículo 14 bis de la Constitución Nacional</w:t>
      </w:r>
      <w:r w:rsidR="00014448" w:rsidRPr="000A2EB9">
        <w:rPr>
          <w:bCs/>
          <w:lang w:val="es-ES"/>
        </w:rPr>
        <w:t xml:space="preserve"> </w:t>
      </w:r>
      <w:r w:rsidR="00CD6B81" w:rsidRPr="000A2EB9">
        <w:rPr>
          <w:bCs/>
          <w:lang w:val="es-ES"/>
        </w:rPr>
        <w:t>otorga al trabajador contra el "despido arbitrario".</w:t>
      </w:r>
    </w:p>
    <w:p w14:paraId="20D8279F" w14:textId="1A4B6827" w:rsidR="009D2FF7" w:rsidRPr="000A2EB9" w:rsidRDefault="009D2FF7" w:rsidP="009D2FF7">
      <w:pPr>
        <w:spacing w:line="360" w:lineRule="auto"/>
        <w:ind w:firstLine="720"/>
        <w:jc w:val="both"/>
        <w:rPr>
          <w:bCs/>
          <w:lang w:val="es-ES"/>
        </w:rPr>
      </w:pPr>
      <w:r w:rsidRPr="000A2EB9">
        <w:rPr>
          <w:bCs/>
          <w:lang w:val="es-ES"/>
        </w:rPr>
        <w:t>El voto concurrente de los jueces Fayt, Maqueda y Zaffaroni también hizo hincapié en que la conducta asumida por la Armada Argentina en el caso pugna con la normativa constitucional recientemente referida, cuyo principio protectorio, com</w:t>
      </w:r>
      <w:r w:rsidRPr="000A2EB9">
        <w:rPr>
          <w:bCs/>
          <w:lang w:val="es-ES"/>
        </w:rPr>
        <w:lastRenderedPageBreak/>
        <w:t>prende, por un lado, al trabajo "en sus diversas formas", incluyendo al que se desarrolla tanto en el ámbito privado como en el público y reconoce, por otro, derechos "inviolables" del trabajador que el Congreso debe asegurar como deber inexcusable, haciendo cita de los principios emanados de diversos instrumentos internacionales.</w:t>
      </w:r>
    </w:p>
    <w:p w14:paraId="724E83D8" w14:textId="0AA97407" w:rsidR="009D2FF7" w:rsidRPr="000A2EB9" w:rsidRDefault="009D2FF7" w:rsidP="00485740">
      <w:pPr>
        <w:spacing w:line="360" w:lineRule="auto"/>
        <w:ind w:firstLine="720"/>
        <w:jc w:val="both"/>
        <w:rPr>
          <w:bCs/>
          <w:lang w:val="es-ES"/>
        </w:rPr>
      </w:pPr>
      <w:r w:rsidRPr="000A2EB9">
        <w:rPr>
          <w:bCs/>
          <w:lang w:val="es-ES"/>
        </w:rPr>
        <w:t>Estos magistrados, en su voto concurrente, especificaron que la naturaleza jurídica de una institución debe ser definida, fundamentalmente, por los elementos que la constituyen, con independencia del nombre que el legislador o los contratantes le atribuyan y que cualquier limitación constitucional que se pretendiese ignorar bajo el ropaje del nomen iuris sería inconstitucional.</w:t>
      </w:r>
    </w:p>
    <w:p w14:paraId="4C79F536" w14:textId="6817CDF6" w:rsidR="007C2309" w:rsidRPr="000A2EB9" w:rsidRDefault="00014448" w:rsidP="007C2309">
      <w:pPr>
        <w:spacing w:line="360" w:lineRule="auto"/>
        <w:jc w:val="both"/>
        <w:rPr>
          <w:bCs/>
          <w:lang w:val="es-ES"/>
        </w:rPr>
      </w:pPr>
      <w:r w:rsidRPr="000A2EB9">
        <w:rPr>
          <w:bCs/>
          <w:lang w:val="es-ES"/>
        </w:rPr>
        <w:tab/>
        <w:t xml:space="preserve">Nótese que </w:t>
      </w:r>
      <w:r w:rsidR="00485740" w:rsidRPr="000A2EB9">
        <w:rPr>
          <w:bCs/>
          <w:lang w:val="es-ES"/>
        </w:rPr>
        <w:t xml:space="preserve">ninguno de los magistrados </w:t>
      </w:r>
      <w:r w:rsidRPr="000A2EB9">
        <w:rPr>
          <w:bCs/>
          <w:lang w:val="es-ES"/>
        </w:rPr>
        <w:t>reconoce al accionante el carácter de empleado público y ello es así</w:t>
      </w:r>
      <w:r w:rsidR="00485740" w:rsidRPr="000A2EB9">
        <w:rPr>
          <w:bCs/>
          <w:lang w:val="es-ES"/>
        </w:rPr>
        <w:t xml:space="preserve"> pues, como e</w:t>
      </w:r>
      <w:r w:rsidR="007C2309" w:rsidRPr="000A2EB9">
        <w:rPr>
          <w:bCs/>
          <w:lang w:val="es-ES"/>
        </w:rPr>
        <w:t xml:space="preserve">xplicó </w:t>
      </w:r>
      <w:r w:rsidR="00485740" w:rsidRPr="000A2EB9">
        <w:rPr>
          <w:bCs/>
          <w:lang w:val="es-ES"/>
        </w:rPr>
        <w:t xml:space="preserve">el voto de </w:t>
      </w:r>
      <w:r w:rsidR="007C2309" w:rsidRPr="000A2EB9">
        <w:rPr>
          <w:bCs/>
          <w:lang w:val="es-ES"/>
        </w:rPr>
        <w:t xml:space="preserve">la </w:t>
      </w:r>
      <w:r w:rsidR="009D2FF7" w:rsidRPr="000A2EB9">
        <w:rPr>
          <w:bCs/>
          <w:lang w:val="es-ES"/>
        </w:rPr>
        <w:t xml:space="preserve">mayoría de la </w:t>
      </w:r>
      <w:r w:rsidR="007C2309" w:rsidRPr="000A2EB9">
        <w:rPr>
          <w:bCs/>
          <w:lang w:val="es-ES"/>
        </w:rPr>
        <w:t>Corte</w:t>
      </w:r>
      <w:r w:rsidR="00485740" w:rsidRPr="000A2EB9">
        <w:rPr>
          <w:bCs/>
          <w:lang w:val="es-ES"/>
        </w:rPr>
        <w:t>,</w:t>
      </w:r>
      <w:r w:rsidR="007C2309" w:rsidRPr="000A2EB9">
        <w:rPr>
          <w:bCs/>
          <w:lang w:val="es-ES"/>
        </w:rPr>
        <w:t xml:space="preserve"> no puede sostenerse que </w:t>
      </w:r>
      <w:r w:rsidR="004B61E8" w:rsidRPr="000A2EB9">
        <w:rPr>
          <w:bCs/>
          <w:lang w:val="es-ES"/>
        </w:rPr>
        <w:t xml:space="preserve">aquel </w:t>
      </w:r>
      <w:r w:rsidR="007C2309" w:rsidRPr="000A2EB9">
        <w:rPr>
          <w:bCs/>
          <w:lang w:val="es-ES"/>
        </w:rPr>
        <w:t xml:space="preserve">tenga derecho a la reincorporación en el cargo pues ello vulneraría el régimen legal de la función pública y el principio constitucional que </w:t>
      </w:r>
      <w:r w:rsidR="004B61E8" w:rsidRPr="000A2EB9">
        <w:rPr>
          <w:bCs/>
          <w:lang w:val="es-ES"/>
        </w:rPr>
        <w:t>atribuye</w:t>
      </w:r>
      <w:r w:rsidR="007C2309" w:rsidRPr="000A2EB9">
        <w:rPr>
          <w:bCs/>
          <w:lang w:val="es-ES"/>
        </w:rPr>
        <w:t xml:space="preserve"> al Congreso</w:t>
      </w:r>
      <w:r w:rsidR="00485740" w:rsidRPr="000A2EB9">
        <w:rPr>
          <w:bCs/>
          <w:lang w:val="es-ES"/>
        </w:rPr>
        <w:t xml:space="preserve"> </w:t>
      </w:r>
      <w:r w:rsidR="004B61E8" w:rsidRPr="000A2EB9">
        <w:rPr>
          <w:bCs/>
          <w:lang w:val="es-ES"/>
        </w:rPr>
        <w:t xml:space="preserve">la facultad de </w:t>
      </w:r>
      <w:r w:rsidR="007C2309" w:rsidRPr="000A2EB9">
        <w:rPr>
          <w:bCs/>
          <w:lang w:val="es-ES"/>
        </w:rPr>
        <w:t>autorizar anualmente el presupuesto general de gastos de la Administración Nacional, y que toda erogación que se aparte de estos límites resulta ilegítima, añadiendo que la Ley Marco de Regulación de Empleo Público Nacional 25.164 establece un régimen diferenciado para empleados que ingresen como planta permanente y para aquellas personas contratadas o designadas como transitorias. En lo que aquí interesa, el artículo 8° sólo reconoce estabilidad a quienes ingresen a cargos pertenecientes al régimen de carrera, y cuya financiación esté prevista en la Ley de Presupuesto.</w:t>
      </w:r>
    </w:p>
    <w:p w14:paraId="08A088EE" w14:textId="5F1361E4" w:rsidR="007C2309" w:rsidRPr="000A2EB9" w:rsidRDefault="007C2309" w:rsidP="007C2309">
      <w:pPr>
        <w:spacing w:line="360" w:lineRule="auto"/>
        <w:jc w:val="both"/>
        <w:rPr>
          <w:bCs/>
          <w:lang w:val="es-ES"/>
        </w:rPr>
      </w:pPr>
      <w:r w:rsidRPr="000A2EB9">
        <w:rPr>
          <w:bCs/>
          <w:lang w:val="es-ES"/>
        </w:rPr>
        <w:tab/>
        <w:t>Si se atribuyera estabilidad a quien no ha sido incorporado con los requisitos y medios de selección previstos para el ingreso a la carrera administrativa, aclaró el fallo bajo estudio, no sólo se estaría trastocando el régimen previsto por la ley 25.164; sino que también se estaría alterando el monto autorizado por el legislador</w:t>
      </w:r>
      <w:r w:rsidR="004B61E8" w:rsidRPr="000A2EB9">
        <w:rPr>
          <w:bCs/>
          <w:lang w:val="es-ES"/>
        </w:rPr>
        <w:t xml:space="preserve"> en el Presupuesto</w:t>
      </w:r>
      <w:r w:rsidRPr="000A2EB9">
        <w:rPr>
          <w:bCs/>
          <w:lang w:val="es-ES"/>
        </w:rPr>
        <w:t>, en forma diferenciada, para financiar gastos correspondientes a personal contratado y personal permanente.</w:t>
      </w:r>
    </w:p>
    <w:p w14:paraId="2D56E593" w14:textId="04EE7B88" w:rsidR="00485740" w:rsidRPr="000A2EB9" w:rsidRDefault="00014448" w:rsidP="009D2FF7">
      <w:pPr>
        <w:spacing w:line="360" w:lineRule="auto"/>
        <w:jc w:val="both"/>
        <w:rPr>
          <w:bCs/>
          <w:lang w:val="es-ES"/>
        </w:rPr>
      </w:pPr>
      <w:r w:rsidRPr="000A2EB9">
        <w:rPr>
          <w:bCs/>
          <w:lang w:val="es-ES"/>
        </w:rPr>
        <w:tab/>
        <w:t xml:space="preserve">Y, a la hora de establecer la fuente de esa indemnización, el </w:t>
      </w:r>
      <w:r w:rsidR="00485740" w:rsidRPr="000A2EB9">
        <w:rPr>
          <w:bCs/>
          <w:lang w:val="es-ES"/>
        </w:rPr>
        <w:t xml:space="preserve">voto mayoritario </w:t>
      </w:r>
      <w:r w:rsidR="004B61E8" w:rsidRPr="000A2EB9">
        <w:rPr>
          <w:bCs/>
          <w:lang w:val="es-ES"/>
        </w:rPr>
        <w:t xml:space="preserve">del </w:t>
      </w:r>
      <w:r w:rsidRPr="000A2EB9">
        <w:rPr>
          <w:bCs/>
          <w:lang w:val="es-ES"/>
        </w:rPr>
        <w:t xml:space="preserve">Alto Tribunal </w:t>
      </w:r>
      <w:r w:rsidR="007C2309" w:rsidRPr="000A2EB9">
        <w:rPr>
          <w:bCs/>
          <w:lang w:val="es-ES"/>
        </w:rPr>
        <w:t>tuvo en cuenta que, por el modo en el que se desenvolvió la relación a lo largo de los años, el tipo de tareas que desempeñaba el actor y las figuras contractuales utilizadas, las partes no tuvieron la intención de someter el vínculo a un régimen de derecho privado</w:t>
      </w:r>
      <w:r w:rsidR="004B61E8" w:rsidRPr="000A2EB9">
        <w:rPr>
          <w:bCs/>
          <w:lang w:val="es-ES"/>
        </w:rPr>
        <w:t xml:space="preserve"> y, a</w:t>
      </w:r>
      <w:r w:rsidR="007C2309" w:rsidRPr="000A2EB9">
        <w:rPr>
          <w:bCs/>
          <w:lang w:val="es-ES"/>
        </w:rPr>
        <w:t xml:space="preserve">nte ello, </w:t>
      </w:r>
      <w:r w:rsidR="00485740" w:rsidRPr="000A2EB9">
        <w:rPr>
          <w:bCs/>
          <w:lang w:val="es-ES"/>
        </w:rPr>
        <w:t xml:space="preserve">los jueces que hicieron mayoría </w:t>
      </w:r>
      <w:r w:rsidR="007C2309" w:rsidRPr="000A2EB9">
        <w:rPr>
          <w:bCs/>
          <w:lang w:val="es-ES"/>
        </w:rPr>
        <w:t>acudi</w:t>
      </w:r>
      <w:r w:rsidR="00485740" w:rsidRPr="000A2EB9">
        <w:rPr>
          <w:bCs/>
          <w:lang w:val="es-ES"/>
        </w:rPr>
        <w:t>eron</w:t>
      </w:r>
      <w:r w:rsidR="007C2309" w:rsidRPr="000A2EB9">
        <w:rPr>
          <w:bCs/>
          <w:lang w:val="es-ES"/>
        </w:rPr>
        <w:t xml:space="preserve"> al ámbito del derecho público y administrativo a fin de establecer el importe indemnizatorio a asignar al trabajador y, a falta de previsiones legislativas específicas, consideró adecuado acudir a una solución que, por analogía, repare debidamente los perjuicios sufridos por el actor en este caso, en alusión a la indemnización prevista por el artículo 11 de la Ley Marco de Regulación de Empleo Público Nacional (ley 25.164), que </w:t>
      </w:r>
      <w:r w:rsidR="007C2309" w:rsidRPr="000A2EB9">
        <w:rPr>
          <w:bCs/>
          <w:lang w:val="es-ES"/>
        </w:rPr>
        <w:lastRenderedPageBreak/>
        <w:t>resulta una medida equitativa para reparar los perjuicios demostrados por el actor en este caso</w:t>
      </w:r>
      <w:r w:rsidR="00234785" w:rsidRPr="000A2EB9">
        <w:rPr>
          <w:bCs/>
          <w:lang w:val="es-ES"/>
        </w:rPr>
        <w:t xml:space="preserve"> (</w:t>
      </w:r>
      <w:r w:rsidR="00234785" w:rsidRPr="000A2EB9">
        <w:rPr>
          <w:rStyle w:val="Refdenotaalpie"/>
          <w:bCs/>
          <w:lang w:val="es-ES"/>
        </w:rPr>
        <w:footnoteReference w:id="44"/>
      </w:r>
      <w:r w:rsidR="00234785" w:rsidRPr="000A2EB9">
        <w:rPr>
          <w:bCs/>
          <w:lang w:val="es-ES"/>
        </w:rPr>
        <w:t>)</w:t>
      </w:r>
      <w:r w:rsidR="009D2FF7" w:rsidRPr="000A2EB9">
        <w:rPr>
          <w:bCs/>
          <w:lang w:val="es-ES"/>
        </w:rPr>
        <w:t xml:space="preserve"> (</w:t>
      </w:r>
      <w:r w:rsidR="009D2FF7" w:rsidRPr="000A2EB9">
        <w:rPr>
          <w:rStyle w:val="Refdenotaalpie"/>
          <w:bCs/>
          <w:lang w:val="es-ES"/>
        </w:rPr>
        <w:footnoteReference w:id="45"/>
      </w:r>
      <w:r w:rsidR="009D2FF7" w:rsidRPr="000A2EB9">
        <w:rPr>
          <w:bCs/>
          <w:lang w:val="es-ES"/>
        </w:rPr>
        <w:t>)</w:t>
      </w:r>
      <w:r w:rsidR="007C2309" w:rsidRPr="000A2EB9">
        <w:rPr>
          <w:bCs/>
          <w:lang w:val="es-ES"/>
        </w:rPr>
        <w:t>.</w:t>
      </w:r>
      <w:r w:rsidR="00234785" w:rsidRPr="000A2EB9">
        <w:rPr>
          <w:bCs/>
          <w:lang w:val="es-ES"/>
        </w:rPr>
        <w:t xml:space="preserve"> </w:t>
      </w:r>
    </w:p>
    <w:p w14:paraId="2BDD7959" w14:textId="4D28E01F" w:rsidR="00234785" w:rsidRPr="000A2EB9" w:rsidRDefault="00485740" w:rsidP="009D2FF7">
      <w:pPr>
        <w:spacing w:line="360" w:lineRule="auto"/>
        <w:jc w:val="both"/>
        <w:rPr>
          <w:bCs/>
          <w:lang w:val="es-ES"/>
        </w:rPr>
      </w:pPr>
      <w:r w:rsidRPr="000A2EB9">
        <w:rPr>
          <w:bCs/>
          <w:lang w:val="es-ES"/>
        </w:rPr>
        <w:t xml:space="preserve"> </w:t>
      </w:r>
      <w:r w:rsidRPr="000A2EB9">
        <w:rPr>
          <w:bCs/>
          <w:lang w:val="es-ES"/>
        </w:rPr>
        <w:tab/>
      </w:r>
      <w:r w:rsidR="00234785" w:rsidRPr="000A2EB9">
        <w:rPr>
          <w:bCs/>
          <w:lang w:val="es-ES"/>
        </w:rPr>
        <w:t>El voto concurrente de los jueces Fayt, Maqueda y Zaffaroni coincidió con tal solución afirmando que, a fin de determinar el régimen jurídico de la reparación, ante la ausencia de una respuesta normativa singularizada a la cuestión, resulta menester recurrir a los principios de leyes análogas, toda vez que la regla de interpretación prevista en el artículo 16 del Código Civil (</w:t>
      </w:r>
      <w:r w:rsidR="00234785" w:rsidRPr="000A2EB9">
        <w:rPr>
          <w:rStyle w:val="Refdenotaalpie"/>
          <w:bCs/>
          <w:lang w:val="es-ES"/>
        </w:rPr>
        <w:footnoteReference w:id="46"/>
      </w:r>
      <w:r w:rsidR="00234785" w:rsidRPr="000A2EB9">
        <w:rPr>
          <w:bCs/>
          <w:lang w:val="es-ES"/>
        </w:rPr>
        <w:t>) excede los</w:t>
      </w:r>
      <w:r w:rsidR="009D2FF7" w:rsidRPr="000A2EB9">
        <w:rPr>
          <w:bCs/>
          <w:lang w:val="es-ES"/>
        </w:rPr>
        <w:t xml:space="preserve"> </w:t>
      </w:r>
      <w:r w:rsidR="00234785" w:rsidRPr="000A2EB9">
        <w:rPr>
          <w:bCs/>
          <w:lang w:val="es-ES"/>
        </w:rPr>
        <w:t>límites del ámbito del derecho privado y se</w:t>
      </w:r>
      <w:r w:rsidR="009D2FF7" w:rsidRPr="000A2EB9">
        <w:rPr>
          <w:bCs/>
          <w:lang w:val="es-ES"/>
        </w:rPr>
        <w:t xml:space="preserve"> </w:t>
      </w:r>
      <w:r w:rsidR="00234785" w:rsidRPr="000A2EB9">
        <w:rPr>
          <w:bCs/>
          <w:lang w:val="es-ES"/>
        </w:rPr>
        <w:t>proyecta como un principio general vigente en todo el orden</w:t>
      </w:r>
      <w:r w:rsidR="009D2FF7" w:rsidRPr="000A2EB9">
        <w:rPr>
          <w:bCs/>
          <w:lang w:val="es-ES"/>
        </w:rPr>
        <w:t xml:space="preserve"> </w:t>
      </w:r>
      <w:r w:rsidR="00234785" w:rsidRPr="000A2EB9">
        <w:rPr>
          <w:bCs/>
          <w:lang w:val="es-ES"/>
        </w:rPr>
        <w:t>jurídico interno</w:t>
      </w:r>
      <w:r w:rsidR="004B61E8" w:rsidRPr="000A2EB9">
        <w:rPr>
          <w:bCs/>
          <w:lang w:val="es-ES"/>
        </w:rPr>
        <w:t xml:space="preserve">. Añadieron </w:t>
      </w:r>
      <w:r w:rsidR="009D2FF7" w:rsidRPr="000A2EB9">
        <w:rPr>
          <w:bCs/>
          <w:lang w:val="es-ES"/>
        </w:rPr>
        <w:t>que el</w:t>
      </w:r>
      <w:r w:rsidR="00234785" w:rsidRPr="000A2EB9">
        <w:rPr>
          <w:bCs/>
          <w:lang w:val="es-ES"/>
        </w:rPr>
        <w:t xml:space="preserve"> examen de las normas que fijan pautas indemnizatorias por pérdida del empleo y que guardan mayor analogía con</w:t>
      </w:r>
      <w:r w:rsidR="009D2FF7" w:rsidRPr="000A2EB9">
        <w:rPr>
          <w:bCs/>
          <w:lang w:val="es-ES"/>
        </w:rPr>
        <w:t xml:space="preserve"> </w:t>
      </w:r>
      <w:r w:rsidR="00234785" w:rsidRPr="000A2EB9">
        <w:rPr>
          <w:bCs/>
          <w:lang w:val="es-ES"/>
        </w:rPr>
        <w:t>la situación discutida en autos conduce a encontrar una</w:t>
      </w:r>
      <w:r w:rsidR="009D2FF7" w:rsidRPr="000A2EB9">
        <w:rPr>
          <w:bCs/>
          <w:lang w:val="es-ES"/>
        </w:rPr>
        <w:t xml:space="preserve"> </w:t>
      </w:r>
      <w:r w:rsidR="00234785" w:rsidRPr="000A2EB9">
        <w:rPr>
          <w:bCs/>
          <w:lang w:val="es-ES"/>
        </w:rPr>
        <w:t>solución razonable y equitativa en el régimen indemnizatorio</w:t>
      </w:r>
      <w:r w:rsidR="009D2FF7" w:rsidRPr="000A2EB9">
        <w:rPr>
          <w:bCs/>
          <w:lang w:val="es-ES"/>
        </w:rPr>
        <w:t xml:space="preserve"> </w:t>
      </w:r>
      <w:r w:rsidR="00234785" w:rsidRPr="000A2EB9">
        <w:rPr>
          <w:bCs/>
          <w:lang w:val="es-ES"/>
        </w:rPr>
        <w:t>previsto en la Ley Marco de Regulación de Empleo Público Nacional, aprobada por la ley 25.164</w:t>
      </w:r>
      <w:r w:rsidR="009D2FF7" w:rsidRPr="000A2EB9">
        <w:rPr>
          <w:bCs/>
          <w:lang w:val="es-ES"/>
        </w:rPr>
        <w:t>.</w:t>
      </w:r>
    </w:p>
    <w:p w14:paraId="6EC5B734" w14:textId="77777777" w:rsidR="00890E25" w:rsidRPr="000A2EB9" w:rsidRDefault="00485740" w:rsidP="00485740">
      <w:pPr>
        <w:spacing w:line="360" w:lineRule="auto"/>
        <w:jc w:val="both"/>
        <w:rPr>
          <w:bCs/>
          <w:lang w:val="es-ES"/>
        </w:rPr>
      </w:pPr>
      <w:r w:rsidRPr="000A2EB9">
        <w:rPr>
          <w:bCs/>
          <w:lang w:val="es-ES"/>
        </w:rPr>
        <w:tab/>
        <w:t>Como lo apuntó expresamente el voto de la mayoría, la doctrina de “Ramos” no contradice lo establecido en “Madorrán”,</w:t>
      </w:r>
      <w:r w:rsidRPr="0002479C">
        <w:rPr>
          <w:lang w:val="es-ES"/>
        </w:rPr>
        <w:t xml:space="preserve"> </w:t>
      </w:r>
      <w:r w:rsidRPr="000A2EB9">
        <w:rPr>
          <w:bCs/>
          <w:lang w:val="es-ES"/>
        </w:rPr>
        <w:t xml:space="preserve">porque en aquel supuesto la actora había sido designada como empleada de la planta permanente y, como tal, tenía derecho a la estabilidad propia en su cargo. </w:t>
      </w:r>
    </w:p>
    <w:p w14:paraId="1D1CECF7" w14:textId="7F3DB950" w:rsidR="00234785" w:rsidRPr="000A2EB9" w:rsidRDefault="00890E25" w:rsidP="00485740">
      <w:pPr>
        <w:spacing w:line="360" w:lineRule="auto"/>
        <w:jc w:val="both"/>
        <w:rPr>
          <w:bCs/>
          <w:lang w:val="es-ES"/>
        </w:rPr>
      </w:pPr>
      <w:r w:rsidRPr="000A2EB9">
        <w:rPr>
          <w:bCs/>
          <w:lang w:val="es-ES"/>
        </w:rPr>
        <w:t xml:space="preserve"> </w:t>
      </w:r>
      <w:r w:rsidRPr="000A2EB9">
        <w:rPr>
          <w:bCs/>
          <w:lang w:val="es-ES"/>
        </w:rPr>
        <w:tab/>
      </w:r>
      <w:r w:rsidR="00485740" w:rsidRPr="000A2EB9">
        <w:rPr>
          <w:bCs/>
          <w:lang w:val="es-ES"/>
        </w:rPr>
        <w:t>En tal sentido, me permito apuntar que la doctrina de “Ramos” se concatena con la del caso “Luque”, es decir aquella causa en la que se estableciera la excepción a lo resuelto en “Madorrán” y en “Ruiz”, ya que, como lo dijera la propia Corte, mientras Madorrán y Ruiz eran empleados públicos de planta permanente, Luque había sido contratado por tiempo determinado, mediante contratos a plazo fijo en los términos permitidos por el art. 90 de la Ley de Contrato de Trabajo, aplicable a la demandada por la suscripción de un Convenio Colectivo en los términos antes explicados.</w:t>
      </w:r>
    </w:p>
    <w:p w14:paraId="1CDA7589" w14:textId="3EFCC049" w:rsidR="00F350B1" w:rsidRPr="000A2EB9" w:rsidRDefault="00BB2422" w:rsidP="00F350B1">
      <w:pPr>
        <w:spacing w:line="360" w:lineRule="auto"/>
        <w:ind w:firstLine="720"/>
        <w:jc w:val="both"/>
        <w:rPr>
          <w:bCs/>
          <w:lang w:val="es-ES"/>
        </w:rPr>
      </w:pPr>
      <w:r w:rsidRPr="000A2EB9">
        <w:rPr>
          <w:bCs/>
          <w:lang w:val="es-ES"/>
        </w:rPr>
        <w:t xml:space="preserve">En las causas </w:t>
      </w:r>
      <w:r w:rsidRPr="000A2EB9">
        <w:rPr>
          <w:b/>
          <w:lang w:val="es-ES"/>
        </w:rPr>
        <w:t>“González Dego, María Laura c/ Ministerio de Trabajo, Empleo y Formación de Recursos Humanos y otro”</w:t>
      </w:r>
      <w:r w:rsidRPr="000A2EB9">
        <w:rPr>
          <w:bCs/>
          <w:lang w:val="es-ES"/>
        </w:rPr>
        <w:t xml:space="preserve">, sentenciada el 050/4/2011, </w:t>
      </w:r>
      <w:r w:rsidRPr="000A2EB9">
        <w:rPr>
          <w:b/>
          <w:lang w:val="es-ES"/>
        </w:rPr>
        <w:t>“</w:t>
      </w:r>
      <w:r w:rsidR="00F350B1" w:rsidRPr="000A2EB9">
        <w:rPr>
          <w:b/>
          <w:lang w:val="es-ES"/>
        </w:rPr>
        <w:t>Maurette, Mauricio c/ Estado Nacional. Ministerio de Economía. Subsecretaría de Normalización Patrimonial</w:t>
      </w:r>
      <w:r w:rsidR="00890E25" w:rsidRPr="000A2EB9">
        <w:rPr>
          <w:bCs/>
          <w:lang w:val="es-ES"/>
        </w:rPr>
        <w:t>”</w:t>
      </w:r>
      <w:r w:rsidR="00F350B1" w:rsidRPr="000A2EB9">
        <w:rPr>
          <w:bCs/>
          <w:lang w:val="es-ES"/>
        </w:rPr>
        <w:t>, del 07/02/2012</w:t>
      </w:r>
      <w:r w:rsidRPr="000A2EB9">
        <w:rPr>
          <w:bCs/>
          <w:lang w:val="es-ES"/>
        </w:rPr>
        <w:t>,</w:t>
      </w:r>
      <w:r w:rsidR="00F350B1" w:rsidRPr="000A2EB9">
        <w:rPr>
          <w:bCs/>
          <w:lang w:val="es-ES"/>
        </w:rPr>
        <w:t xml:space="preserve"> </w:t>
      </w:r>
      <w:r w:rsidRPr="000A2EB9">
        <w:rPr>
          <w:b/>
          <w:lang w:val="es-ES"/>
        </w:rPr>
        <w:t>“Cerigliano, Carlos Fabián c/ Gobierno de la Ciudad de Buenos Aires-Unidad Polimodal de Inspecciones</w:t>
      </w:r>
      <w:r w:rsidR="00890E25" w:rsidRPr="000A2EB9">
        <w:rPr>
          <w:bCs/>
          <w:lang w:val="es-ES"/>
        </w:rPr>
        <w:t>”</w:t>
      </w:r>
      <w:r w:rsidRPr="000A2EB9">
        <w:rPr>
          <w:bCs/>
          <w:lang w:val="es-ES"/>
        </w:rPr>
        <w:t xml:space="preserve">, decisión del 19/4/2011; </w:t>
      </w:r>
      <w:r w:rsidRPr="000A2EB9">
        <w:rPr>
          <w:b/>
          <w:lang w:val="es-ES"/>
        </w:rPr>
        <w:t>“Lore, Miguel A. c/ Estado Nacional-Ministerio de Justicia-Policía Federal”</w:t>
      </w:r>
      <w:r w:rsidRPr="000A2EB9">
        <w:rPr>
          <w:bCs/>
          <w:lang w:val="es-ES"/>
        </w:rPr>
        <w:t xml:space="preserve">, de fecha 27/11/2014 y </w:t>
      </w:r>
      <w:r w:rsidRPr="000A2EB9">
        <w:rPr>
          <w:b/>
          <w:lang w:val="es-ES"/>
        </w:rPr>
        <w:t>“Gómez, Orlando M. c/ Estado Nacional-Ministerio de Justicia-Policía Federal”</w:t>
      </w:r>
      <w:r w:rsidRPr="000A2EB9">
        <w:rPr>
          <w:bCs/>
          <w:lang w:val="es-ES"/>
        </w:rPr>
        <w:t xml:space="preserve">, del 27/11/2014, </w:t>
      </w:r>
      <w:r w:rsidR="00F350B1" w:rsidRPr="000A2EB9">
        <w:rPr>
          <w:bCs/>
          <w:lang w:val="es-ES"/>
        </w:rPr>
        <w:t>se ratific</w:t>
      </w:r>
      <w:r w:rsidR="00890E25" w:rsidRPr="000A2EB9">
        <w:rPr>
          <w:bCs/>
          <w:lang w:val="es-ES"/>
        </w:rPr>
        <w:t>ó la doctrina sentada en la causa</w:t>
      </w:r>
      <w:r w:rsidR="00F350B1" w:rsidRPr="000A2EB9">
        <w:rPr>
          <w:bCs/>
          <w:lang w:val="es-ES"/>
        </w:rPr>
        <w:t xml:space="preserve"> </w:t>
      </w:r>
      <w:r w:rsidR="00890E25" w:rsidRPr="000A2EB9">
        <w:rPr>
          <w:bCs/>
          <w:lang w:val="es-ES"/>
        </w:rPr>
        <w:t>“</w:t>
      </w:r>
      <w:r w:rsidR="00F350B1" w:rsidRPr="000A2EB9">
        <w:rPr>
          <w:bCs/>
          <w:lang w:val="es-ES"/>
        </w:rPr>
        <w:t>Ramos</w:t>
      </w:r>
      <w:r w:rsidR="00890E25" w:rsidRPr="000A2EB9">
        <w:rPr>
          <w:bCs/>
          <w:lang w:val="es-ES"/>
        </w:rPr>
        <w:t>”</w:t>
      </w:r>
      <w:r w:rsidR="00F350B1" w:rsidRPr="000A2EB9">
        <w:rPr>
          <w:bCs/>
          <w:lang w:val="es-ES"/>
        </w:rPr>
        <w:t xml:space="preserve"> y se declar</w:t>
      </w:r>
      <w:r w:rsidR="00890E25" w:rsidRPr="000A2EB9">
        <w:rPr>
          <w:bCs/>
          <w:lang w:val="es-ES"/>
        </w:rPr>
        <w:t>ó</w:t>
      </w:r>
      <w:r w:rsidR="00F350B1" w:rsidRPr="000A2EB9">
        <w:rPr>
          <w:bCs/>
          <w:lang w:val="es-ES"/>
        </w:rPr>
        <w:t xml:space="preserve"> expresamente el derecho de</w:t>
      </w:r>
      <w:r w:rsidR="00890E25" w:rsidRPr="000A2EB9">
        <w:rPr>
          <w:bCs/>
          <w:lang w:val="es-ES"/>
        </w:rPr>
        <w:t xml:space="preserve"> </w:t>
      </w:r>
      <w:r w:rsidR="00F350B1" w:rsidRPr="000A2EB9">
        <w:rPr>
          <w:bCs/>
          <w:lang w:val="es-ES"/>
        </w:rPr>
        <w:t>l</w:t>
      </w:r>
      <w:r w:rsidR="00890E25" w:rsidRPr="000A2EB9">
        <w:rPr>
          <w:bCs/>
          <w:lang w:val="es-ES"/>
        </w:rPr>
        <w:t>os</w:t>
      </w:r>
      <w:r w:rsidR="00F350B1" w:rsidRPr="000A2EB9">
        <w:rPr>
          <w:bCs/>
          <w:lang w:val="es-ES"/>
        </w:rPr>
        <w:t xml:space="preserve"> pretensor</w:t>
      </w:r>
      <w:r w:rsidR="00890E25" w:rsidRPr="000A2EB9">
        <w:rPr>
          <w:bCs/>
          <w:lang w:val="es-ES"/>
        </w:rPr>
        <w:t>es</w:t>
      </w:r>
      <w:r w:rsidR="00F350B1" w:rsidRPr="000A2EB9">
        <w:rPr>
          <w:bCs/>
          <w:lang w:val="es-ES"/>
        </w:rPr>
        <w:t xml:space="preserve"> a </w:t>
      </w:r>
      <w:r w:rsidR="00F350B1" w:rsidRPr="000A2EB9">
        <w:rPr>
          <w:bCs/>
          <w:lang w:val="es-ES"/>
        </w:rPr>
        <w:lastRenderedPageBreak/>
        <w:t>la prestación indemnizatoria por la ruptura intempestiva del contrato prevista en el art. 11 de la ley 25.164</w:t>
      </w:r>
      <w:r w:rsidRPr="000A2EB9">
        <w:rPr>
          <w:bCs/>
          <w:lang w:val="es-ES"/>
        </w:rPr>
        <w:t xml:space="preserve"> (</w:t>
      </w:r>
      <w:r w:rsidRPr="000A2EB9">
        <w:rPr>
          <w:rStyle w:val="Refdenotaalpie"/>
          <w:bCs/>
          <w:lang w:val="es-ES"/>
        </w:rPr>
        <w:footnoteReference w:id="47"/>
      </w:r>
      <w:r w:rsidRPr="000A2EB9">
        <w:rPr>
          <w:bCs/>
          <w:lang w:val="es-ES"/>
        </w:rPr>
        <w:t>).</w:t>
      </w:r>
      <w:r w:rsidR="00F350B1" w:rsidRPr="000A2EB9">
        <w:rPr>
          <w:bCs/>
          <w:lang w:val="es-ES"/>
        </w:rPr>
        <w:t xml:space="preserve"> </w:t>
      </w:r>
    </w:p>
    <w:p w14:paraId="30E257BC" w14:textId="77777777" w:rsidR="000F0626" w:rsidRPr="000A2EB9" w:rsidRDefault="00BB2422" w:rsidP="00F350B1">
      <w:pPr>
        <w:spacing w:line="360" w:lineRule="auto"/>
        <w:ind w:firstLine="720"/>
        <w:jc w:val="both"/>
        <w:rPr>
          <w:bCs/>
          <w:lang w:val="es-ES"/>
        </w:rPr>
      </w:pPr>
      <w:r w:rsidRPr="000A2EB9">
        <w:rPr>
          <w:bCs/>
          <w:lang w:val="es-ES"/>
        </w:rPr>
        <w:t xml:space="preserve">Tal como dije al comenzar a describir lo resuelto en materia de “Contratados del Estado”, el mismo día, 06/04/2010, en que la Corte Suprema firmara la sentencia del caso “Ramos” resolvió también la causa </w:t>
      </w:r>
      <w:r w:rsidRPr="000A2EB9">
        <w:rPr>
          <w:b/>
          <w:lang w:val="es-ES"/>
        </w:rPr>
        <w:t>“</w:t>
      </w:r>
      <w:r w:rsidR="00F350B1" w:rsidRPr="000A2EB9">
        <w:rPr>
          <w:b/>
          <w:lang w:val="es-ES"/>
        </w:rPr>
        <w:t>Sánchez, Carlos Próspero c/Auditoría General de la Nación</w:t>
      </w:r>
      <w:r w:rsidRPr="000A2EB9">
        <w:rPr>
          <w:b/>
          <w:lang w:val="es-ES"/>
        </w:rPr>
        <w:t>”</w:t>
      </w:r>
      <w:r w:rsidRPr="000A2EB9">
        <w:rPr>
          <w:bCs/>
          <w:lang w:val="es-ES"/>
        </w:rPr>
        <w:t xml:space="preserve"> en la que</w:t>
      </w:r>
      <w:r w:rsidR="000F0626" w:rsidRPr="000A2EB9">
        <w:rPr>
          <w:bCs/>
          <w:lang w:val="es-ES"/>
        </w:rPr>
        <w:t>, por mayoría, no se aplicaron las reglas jurídicas de aquel caso, considerando una excepción.</w:t>
      </w:r>
    </w:p>
    <w:p w14:paraId="37154B21" w14:textId="70AC4B0C" w:rsidR="00F350B1" w:rsidRPr="000A2EB9" w:rsidRDefault="000F0626" w:rsidP="00F350B1">
      <w:pPr>
        <w:spacing w:line="360" w:lineRule="auto"/>
        <w:ind w:firstLine="720"/>
        <w:jc w:val="both"/>
        <w:rPr>
          <w:bCs/>
          <w:lang w:val="es-ES"/>
        </w:rPr>
      </w:pPr>
      <w:r w:rsidRPr="000A2EB9">
        <w:rPr>
          <w:bCs/>
          <w:lang w:val="es-ES"/>
        </w:rPr>
        <w:t>La diferencia hecha por el voto de la mayoría, como se verá, no es nítida por lo que este pronunciamiento</w:t>
      </w:r>
      <w:r w:rsidR="00904D0B" w:rsidRPr="000A2EB9">
        <w:rPr>
          <w:bCs/>
          <w:lang w:val="es-ES"/>
        </w:rPr>
        <w:t>, polémico</w:t>
      </w:r>
      <w:r w:rsidR="00890E25" w:rsidRPr="000A2EB9">
        <w:rPr>
          <w:bCs/>
          <w:lang w:val="es-ES"/>
        </w:rPr>
        <w:t xml:space="preserve"> sin duda</w:t>
      </w:r>
      <w:r w:rsidR="00904D0B" w:rsidRPr="000A2EB9">
        <w:rPr>
          <w:bCs/>
          <w:lang w:val="es-ES"/>
        </w:rPr>
        <w:t>,</w:t>
      </w:r>
      <w:r w:rsidRPr="000A2EB9">
        <w:rPr>
          <w:bCs/>
          <w:lang w:val="es-ES"/>
        </w:rPr>
        <w:t xml:space="preserve"> debe examinarse con prudencia y, por añadidura, anticipo que el voto de la minoría, por el contrario, no encontró justificado hacer excepción a los criterios establecidos en “Ramos”.</w:t>
      </w:r>
    </w:p>
    <w:p w14:paraId="5D7307DC" w14:textId="5928340F" w:rsidR="00BB2422" w:rsidRPr="000A2EB9" w:rsidRDefault="00904D0B" w:rsidP="00EB5AA1">
      <w:pPr>
        <w:spacing w:line="360" w:lineRule="auto"/>
        <w:ind w:firstLine="720"/>
        <w:jc w:val="both"/>
        <w:rPr>
          <w:bCs/>
          <w:lang w:val="es-ES"/>
        </w:rPr>
      </w:pPr>
      <w:r w:rsidRPr="000A2EB9">
        <w:rPr>
          <w:bCs/>
          <w:lang w:val="es-ES"/>
        </w:rPr>
        <w:t>Pues bien, en “S</w:t>
      </w:r>
      <w:r w:rsidR="00890E25" w:rsidRPr="000A2EB9">
        <w:rPr>
          <w:bCs/>
          <w:lang w:val="es-ES"/>
        </w:rPr>
        <w:t>á</w:t>
      </w:r>
      <w:r w:rsidRPr="000A2EB9">
        <w:rPr>
          <w:bCs/>
          <w:lang w:val="es-ES"/>
        </w:rPr>
        <w:t>nchez” l</w:t>
      </w:r>
      <w:r w:rsidR="007E6DFB" w:rsidRPr="000A2EB9">
        <w:rPr>
          <w:bCs/>
          <w:lang w:val="es-ES"/>
        </w:rPr>
        <w:t>a Sala VII de la CNAT había confirmado la sentencia de primera instancia que, al admitir la pretensión, condenara a la Auditoría General de la Nación a pagar una suma de dinero en concepto de indemnización por los perjuicios derivados de la ruptura del vínculo de empleo que unía a las partes.</w:t>
      </w:r>
      <w:r w:rsidR="00EB5AA1" w:rsidRPr="000A2EB9">
        <w:rPr>
          <w:bCs/>
          <w:lang w:val="es-ES"/>
        </w:rPr>
        <w:t xml:space="preserve"> Para ello, los Tribunales intervinientes tuvieron en cuenta que el Sr. S</w:t>
      </w:r>
      <w:r w:rsidR="00890E25" w:rsidRPr="000A2EB9">
        <w:rPr>
          <w:bCs/>
          <w:lang w:val="es-ES"/>
        </w:rPr>
        <w:t>á</w:t>
      </w:r>
      <w:r w:rsidR="00EB5AA1" w:rsidRPr="000A2EB9">
        <w:rPr>
          <w:bCs/>
          <w:lang w:val="es-ES"/>
        </w:rPr>
        <w:t>nchez había sido contratado sucesivamente durante ocho años y había cumplido tareas propias de los empleados de planta permanente, circunstancia que evidenció la existencia de un abuso de las formas legales para privar al vínculo de la protección constitucional contra el despido arbitrario.</w:t>
      </w:r>
    </w:p>
    <w:p w14:paraId="696E20F6" w14:textId="2C87889E" w:rsidR="00904D0B" w:rsidRPr="000A2EB9" w:rsidRDefault="00904D0B" w:rsidP="00904D0B">
      <w:pPr>
        <w:spacing w:line="360" w:lineRule="auto"/>
        <w:ind w:firstLine="720"/>
        <w:jc w:val="both"/>
        <w:rPr>
          <w:bCs/>
          <w:lang w:val="es-ES"/>
        </w:rPr>
      </w:pPr>
      <w:r w:rsidRPr="000A2EB9">
        <w:rPr>
          <w:bCs/>
          <w:lang w:val="es-ES"/>
        </w:rPr>
        <w:t>El voto que formó mayoría, suscripto por los jueces Lorenzetti, Highton, Petracchi y Argibay, sostuvo que la conclusión del Tribunal a quo no t</w:t>
      </w:r>
      <w:r w:rsidR="00890E25" w:rsidRPr="000A2EB9">
        <w:rPr>
          <w:bCs/>
          <w:lang w:val="es-ES"/>
        </w:rPr>
        <w:t>enía s</w:t>
      </w:r>
      <w:r w:rsidRPr="000A2EB9">
        <w:rPr>
          <w:bCs/>
          <w:lang w:val="es-ES"/>
        </w:rPr>
        <w:t xml:space="preserve">ustento en la prueba producida en la causa, ni tampoco </w:t>
      </w:r>
      <w:r w:rsidR="00890E25" w:rsidRPr="000A2EB9">
        <w:rPr>
          <w:bCs/>
          <w:lang w:val="es-ES"/>
        </w:rPr>
        <w:t>tuvo</w:t>
      </w:r>
      <w:r w:rsidRPr="000A2EB9">
        <w:rPr>
          <w:bCs/>
          <w:lang w:val="es-ES"/>
        </w:rPr>
        <w:t xml:space="preserve"> en cuenta las normas específicas que regulan el funcionamiento de la Auditoría General de la Nación. En tal sentido, la mayoría apuntó que la Cámara no se hizo cargo del planteo de la demandada relativo a que la legislación nacional que regula el funcionamiento de la Auditoría General de la Nación autoriza expresamente la celebración de contratos como los suscriptos con Sánchez, ya que la actividad de este organismo de control hace necesario contar con un cuerpo de auditores externos, con remisión al artículo 118, inciso b, de la ley 24.156, regulatoria de la administración financiera y los sistemas de control del sector </w:t>
      </w:r>
      <w:r w:rsidR="00890E25" w:rsidRPr="000A2EB9">
        <w:rPr>
          <w:bCs/>
          <w:lang w:val="es-ES"/>
        </w:rPr>
        <w:t>público</w:t>
      </w:r>
      <w:r w:rsidRPr="000A2EB9">
        <w:rPr>
          <w:bCs/>
          <w:lang w:val="es-ES"/>
        </w:rPr>
        <w:t xml:space="preserve"> nacional.  </w:t>
      </w:r>
    </w:p>
    <w:p w14:paraId="75E81AE2" w14:textId="38AD7912" w:rsidR="00904D0B" w:rsidRPr="000A2EB9" w:rsidRDefault="00904D0B" w:rsidP="00904D0B">
      <w:pPr>
        <w:spacing w:line="360" w:lineRule="auto"/>
        <w:ind w:firstLine="720"/>
        <w:jc w:val="both"/>
        <w:rPr>
          <w:bCs/>
          <w:lang w:val="es-ES"/>
        </w:rPr>
      </w:pPr>
      <w:r w:rsidRPr="000A2EB9">
        <w:rPr>
          <w:bCs/>
          <w:lang w:val="es-ES"/>
        </w:rPr>
        <w:t>A juicio de los magistrados que formaron mayoría</w:t>
      </w:r>
      <w:r w:rsidR="00890E25" w:rsidRPr="000A2EB9">
        <w:rPr>
          <w:bCs/>
          <w:lang w:val="es-ES"/>
        </w:rPr>
        <w:t>,</w:t>
      </w:r>
      <w:r w:rsidRPr="000A2EB9">
        <w:rPr>
          <w:bCs/>
          <w:lang w:val="es-ES"/>
        </w:rPr>
        <w:t xml:space="preserve"> el hecho de que Sánchez realizara tareas típicas de la actividad de la Auditoría General de la Nación no resulta suficiente, por sí solo, para demostrar la existencia de una desviación de poder para encubrir, mediante la renovación de sucesivos contratos a término, un vínculo de empleo permanente, </w:t>
      </w:r>
      <w:r w:rsidR="009D4CF4" w:rsidRPr="000A2EB9">
        <w:rPr>
          <w:bCs/>
          <w:lang w:val="es-ES"/>
        </w:rPr>
        <w:t>pues</w:t>
      </w:r>
      <w:r w:rsidRPr="000A2EB9">
        <w:rPr>
          <w:bCs/>
          <w:lang w:val="es-ES"/>
        </w:rPr>
        <w:t xml:space="preserve"> la legislación nacional autoriza a la Auditoría a contratar profesionales independientes para desempeñar este tipo de funciones, recordando que el </w:t>
      </w:r>
      <w:r w:rsidRPr="000A2EB9">
        <w:rPr>
          <w:bCs/>
          <w:lang w:val="es-ES"/>
        </w:rPr>
        <w:lastRenderedPageBreak/>
        <w:t xml:space="preserve">recién mencionado art. 118, inciso de la ley 24.156 prevé que, "en el marco del programa de acción anual de control externo que le fijen las comisiones señaladas en el art. 116, la Auditoria General de la Nación, tendrá las siguientes funciones: </w:t>
      </w:r>
      <w:r w:rsidR="009D4CF4" w:rsidRPr="000A2EB9">
        <w:rPr>
          <w:bCs/>
          <w:lang w:val="es-ES"/>
        </w:rPr>
        <w:t>r</w:t>
      </w:r>
      <w:r w:rsidRPr="000A2EB9">
        <w:rPr>
          <w:bCs/>
          <w:lang w:val="es-ES"/>
        </w:rPr>
        <w:t>ealizar auditor</w:t>
      </w:r>
      <w:r w:rsidR="009D4CF4" w:rsidRPr="000A2EB9">
        <w:rPr>
          <w:bCs/>
          <w:lang w:val="es-ES"/>
        </w:rPr>
        <w:t>í</w:t>
      </w:r>
      <w:r w:rsidRPr="000A2EB9">
        <w:rPr>
          <w:bCs/>
          <w:lang w:val="es-ES"/>
        </w:rPr>
        <w:t>as financieras, de legalidad, de gestión, exámenes especiales de las jurisdicciones y de las entidades bajo su control, así como las evaluaciones de programas, proyectos y operaciones, y que estos trabajos podrán ser realizados directamente o mediante la contratación de profesionales independientes de auditoría.</w:t>
      </w:r>
    </w:p>
    <w:p w14:paraId="59AE6887" w14:textId="48A47264" w:rsidR="00904D0B" w:rsidRPr="000A2EB9" w:rsidRDefault="00904D0B" w:rsidP="00904D0B">
      <w:pPr>
        <w:spacing w:line="360" w:lineRule="auto"/>
        <w:ind w:firstLine="720"/>
        <w:jc w:val="both"/>
        <w:rPr>
          <w:bCs/>
          <w:lang w:val="es-ES"/>
        </w:rPr>
      </w:pPr>
      <w:r w:rsidRPr="000A2EB9">
        <w:rPr>
          <w:bCs/>
          <w:lang w:val="es-ES"/>
        </w:rPr>
        <w:t xml:space="preserve">En </w:t>
      </w:r>
      <w:r w:rsidR="00CC430C" w:rsidRPr="000A2EB9">
        <w:rPr>
          <w:bCs/>
          <w:lang w:val="es-ES"/>
        </w:rPr>
        <w:t xml:space="preserve">ese marco legal, el voto mayoritario sostuvo que </w:t>
      </w:r>
      <w:r w:rsidRPr="000A2EB9">
        <w:rPr>
          <w:bCs/>
          <w:lang w:val="es-ES"/>
        </w:rPr>
        <w:t>la específica normativa que</w:t>
      </w:r>
      <w:r w:rsidR="00CC430C" w:rsidRPr="000A2EB9">
        <w:rPr>
          <w:bCs/>
          <w:lang w:val="es-ES"/>
        </w:rPr>
        <w:t xml:space="preserve"> </w:t>
      </w:r>
      <w:r w:rsidRPr="000A2EB9">
        <w:rPr>
          <w:bCs/>
          <w:lang w:val="es-ES"/>
        </w:rPr>
        <w:t>rige la Auditoría General de la Nación impide considerar el</w:t>
      </w:r>
      <w:r w:rsidR="00CC430C" w:rsidRPr="000A2EB9">
        <w:rPr>
          <w:bCs/>
          <w:lang w:val="es-ES"/>
        </w:rPr>
        <w:t xml:space="preserve"> </w:t>
      </w:r>
      <w:r w:rsidRPr="000A2EB9">
        <w:rPr>
          <w:bCs/>
          <w:lang w:val="es-ES"/>
        </w:rPr>
        <w:t>tipo de tareas realizadas por los agentes contratados como un</w:t>
      </w:r>
      <w:r w:rsidR="00CC430C" w:rsidRPr="000A2EB9">
        <w:rPr>
          <w:bCs/>
          <w:lang w:val="es-ES"/>
        </w:rPr>
        <w:t xml:space="preserve"> </w:t>
      </w:r>
      <w:r w:rsidRPr="000A2EB9">
        <w:rPr>
          <w:bCs/>
          <w:lang w:val="es-ES"/>
        </w:rPr>
        <w:t>indicador relevante para determinar si existía o no una relación de empleo permanente, puesto que ese dato no pone de</w:t>
      </w:r>
      <w:r w:rsidR="00CC430C" w:rsidRPr="000A2EB9">
        <w:rPr>
          <w:bCs/>
          <w:lang w:val="es-ES"/>
        </w:rPr>
        <w:t xml:space="preserve"> </w:t>
      </w:r>
      <w:r w:rsidRPr="000A2EB9">
        <w:rPr>
          <w:bCs/>
          <w:lang w:val="es-ES"/>
        </w:rPr>
        <w:t>manifiesto una aplicación desviada de las normas que habilitan</w:t>
      </w:r>
      <w:r w:rsidR="00CC430C" w:rsidRPr="000A2EB9">
        <w:rPr>
          <w:bCs/>
          <w:lang w:val="es-ES"/>
        </w:rPr>
        <w:t xml:space="preserve"> </w:t>
      </w:r>
      <w:r w:rsidRPr="000A2EB9">
        <w:rPr>
          <w:bCs/>
          <w:lang w:val="es-ES"/>
        </w:rPr>
        <w:t>la contratación de personal extern</w:t>
      </w:r>
      <w:r w:rsidR="00CC430C" w:rsidRPr="000A2EB9">
        <w:rPr>
          <w:bCs/>
          <w:lang w:val="es-ES"/>
        </w:rPr>
        <w:t xml:space="preserve">o y, consecuentemente, consideró que lo decidido por la Cámara debe ser descalificado en cuanto ha considerado </w:t>
      </w:r>
      <w:r w:rsidRPr="000A2EB9">
        <w:rPr>
          <w:bCs/>
          <w:lang w:val="es-ES"/>
        </w:rPr>
        <w:t>que existía un vínculo de</w:t>
      </w:r>
      <w:r w:rsidR="00CC430C" w:rsidRPr="000A2EB9">
        <w:rPr>
          <w:bCs/>
          <w:lang w:val="es-ES"/>
        </w:rPr>
        <w:t xml:space="preserve"> </w:t>
      </w:r>
      <w:r w:rsidRPr="000A2EB9">
        <w:rPr>
          <w:bCs/>
          <w:lang w:val="es-ES"/>
        </w:rPr>
        <w:t>empleo encubierto sobre la base de afirmaciones dogmáticas</w:t>
      </w:r>
      <w:r w:rsidR="00CC430C" w:rsidRPr="000A2EB9">
        <w:rPr>
          <w:bCs/>
          <w:lang w:val="es-ES"/>
        </w:rPr>
        <w:t xml:space="preserve"> y </w:t>
      </w:r>
      <w:r w:rsidRPr="000A2EB9">
        <w:rPr>
          <w:bCs/>
          <w:lang w:val="es-ES"/>
        </w:rPr>
        <w:t>sin dar adecuado tratamiento a planteos conducentes de la</w:t>
      </w:r>
      <w:r w:rsidR="00CC430C" w:rsidRPr="000A2EB9">
        <w:rPr>
          <w:bCs/>
          <w:lang w:val="es-ES"/>
        </w:rPr>
        <w:t xml:space="preserve"> </w:t>
      </w:r>
      <w:r w:rsidRPr="000A2EB9">
        <w:rPr>
          <w:bCs/>
          <w:lang w:val="es-ES"/>
        </w:rPr>
        <w:t>demandada que sustentaban la postura contraria.</w:t>
      </w:r>
    </w:p>
    <w:p w14:paraId="78F1C259" w14:textId="166D1B1E" w:rsidR="00CC430C" w:rsidRPr="000A2EB9" w:rsidRDefault="00CC430C" w:rsidP="00CC430C">
      <w:pPr>
        <w:spacing w:line="360" w:lineRule="auto"/>
        <w:ind w:firstLine="720"/>
        <w:jc w:val="both"/>
        <w:rPr>
          <w:bCs/>
          <w:lang w:val="es-ES"/>
        </w:rPr>
      </w:pPr>
      <w:r w:rsidRPr="000A2EB9">
        <w:rPr>
          <w:bCs/>
          <w:lang w:val="es-ES"/>
        </w:rPr>
        <w:t xml:space="preserve">El voto de los jueces Lorenzetti, Highton, Petracchi y Argibay concluyó sosteniendo que las circunstancias de este caso difieren sustancialmente de las discutidas y resueltas en la causa "Ramos”, porque el Sr. Sánchez </w:t>
      </w:r>
      <w:r w:rsidR="009D4CF4" w:rsidRPr="000A2EB9">
        <w:rPr>
          <w:bCs/>
          <w:lang w:val="es-ES"/>
        </w:rPr>
        <w:t xml:space="preserve">no </w:t>
      </w:r>
      <w:r w:rsidRPr="000A2EB9">
        <w:rPr>
          <w:bCs/>
          <w:lang w:val="es-ES"/>
        </w:rPr>
        <w:t>ha logrado acreditar que la Auditoría General haya utilizado figuras jurídicas autorizadas legalmente para casos excepcionales con la desviación de poder consistente en encubrir una designación permanente bajo la apariencia de un contrato por tiempo determinado.</w:t>
      </w:r>
    </w:p>
    <w:p w14:paraId="241C9B74" w14:textId="5E0E1D2B" w:rsidR="008E48A8" w:rsidRPr="000A2EB9" w:rsidRDefault="009D4CF4" w:rsidP="008E48A8">
      <w:pPr>
        <w:spacing w:line="360" w:lineRule="auto"/>
        <w:ind w:firstLine="720"/>
        <w:jc w:val="both"/>
        <w:rPr>
          <w:bCs/>
          <w:lang w:val="es-ES"/>
        </w:rPr>
      </w:pPr>
      <w:r w:rsidRPr="000A2EB9">
        <w:rPr>
          <w:bCs/>
          <w:lang w:val="es-ES"/>
        </w:rPr>
        <w:t>En cambio, l</w:t>
      </w:r>
      <w:r w:rsidR="00CC430C" w:rsidRPr="000A2EB9">
        <w:rPr>
          <w:bCs/>
          <w:lang w:val="es-ES"/>
        </w:rPr>
        <w:t xml:space="preserve">os jueces </w:t>
      </w:r>
      <w:r w:rsidR="00904D0B" w:rsidRPr="000A2EB9">
        <w:rPr>
          <w:bCs/>
          <w:lang w:val="es-ES"/>
        </w:rPr>
        <w:t>Fayt, Maqueda y Zaffaroni</w:t>
      </w:r>
      <w:r w:rsidR="008E48A8" w:rsidRPr="000A2EB9">
        <w:rPr>
          <w:bCs/>
          <w:lang w:val="es-ES"/>
        </w:rPr>
        <w:t xml:space="preserve"> expresaron su </w:t>
      </w:r>
      <w:r w:rsidR="00CC430C" w:rsidRPr="000A2EB9">
        <w:rPr>
          <w:bCs/>
          <w:lang w:val="es-ES"/>
        </w:rPr>
        <w:t xml:space="preserve">disidencia en </w:t>
      </w:r>
      <w:r w:rsidR="008E48A8" w:rsidRPr="000A2EB9">
        <w:rPr>
          <w:bCs/>
          <w:lang w:val="es-ES"/>
        </w:rPr>
        <w:t xml:space="preserve">un voto </w:t>
      </w:r>
      <w:r w:rsidR="00CC430C" w:rsidRPr="000A2EB9">
        <w:rPr>
          <w:bCs/>
          <w:lang w:val="es-ES"/>
        </w:rPr>
        <w:t>conjunt</w:t>
      </w:r>
      <w:r w:rsidR="008E48A8" w:rsidRPr="000A2EB9">
        <w:rPr>
          <w:bCs/>
          <w:lang w:val="es-ES"/>
        </w:rPr>
        <w:t xml:space="preserve">o y comenzaron aseverando que, pese a la defensa planteada por la entidad demandada apoyada en el decreto 92/1995, no ha dado </w:t>
      </w:r>
      <w:r w:rsidRPr="000A2EB9">
        <w:rPr>
          <w:bCs/>
          <w:lang w:val="es-ES"/>
        </w:rPr>
        <w:t xml:space="preserve">durante el </w:t>
      </w:r>
      <w:r w:rsidR="008E48A8" w:rsidRPr="000A2EB9">
        <w:rPr>
          <w:bCs/>
          <w:lang w:val="es-ES"/>
        </w:rPr>
        <w:t>proceso indicación concreta alguna en relación con la tarea realmente desarrollada por el actor y, en especial, acerca de los específicos programas de trabajo o proyectos a los que fue destinado, el carácter especial y complementario de aquéllos respecto de la labor ordinaria y regular de la institución, las razones que aconsejaban su realización por el medio escogido, los objetivos parciales y finales que se procuraban alcanzar, y el cronograma del programa y los plazos estimados para su ejecución; así como que los textos de los contratos litigiosos obrantes en la causa corroboran, en opinión de estos ministros, la falta de todo esclarecimiento de los puntos indicados toda vez que muestran una palmaria generalidad e insuficiencia.</w:t>
      </w:r>
    </w:p>
    <w:p w14:paraId="4DBB668D" w14:textId="5DB9142C" w:rsidR="004B4789" w:rsidRPr="000A2EB9" w:rsidRDefault="008E48A8" w:rsidP="004B4789">
      <w:pPr>
        <w:spacing w:line="360" w:lineRule="auto"/>
        <w:ind w:firstLine="720"/>
        <w:jc w:val="both"/>
        <w:rPr>
          <w:bCs/>
          <w:lang w:val="es-ES"/>
        </w:rPr>
      </w:pPr>
      <w:r w:rsidRPr="000A2EB9">
        <w:rPr>
          <w:bCs/>
          <w:lang w:val="es-ES"/>
        </w:rPr>
        <w:t>Más aún, pusieron el acento en que la propia Auditoría expresó en la causa que la contratación de profesionales independientes, como el Sr. Sánchez, derivaba de que el plantel de cargos de la planta permanente y no permanente resultaba "insuficiente para poder cumplir el Plan de Acción Anual", lo que permite comprender que esa contratación no encontraría su causa en una necesidad extraordinaria y temporal</w:t>
      </w:r>
      <w:r w:rsidR="004B4789" w:rsidRPr="000A2EB9">
        <w:rPr>
          <w:bCs/>
          <w:lang w:val="es-ES"/>
        </w:rPr>
        <w:t xml:space="preserve"> y que</w:t>
      </w:r>
      <w:r w:rsidR="004B4789" w:rsidRPr="0002479C">
        <w:rPr>
          <w:lang w:val="es-ES"/>
        </w:rPr>
        <w:t xml:space="preserve"> </w:t>
      </w:r>
      <w:r w:rsidR="004B4789" w:rsidRPr="000A2EB9">
        <w:rPr>
          <w:bCs/>
          <w:lang w:val="es-ES"/>
        </w:rPr>
        <w:t>la vinculación de la demandada con el actor obedeció a requerimientos propios de la actividad permanente, normal y regular de la primera. Asimismo, señalaron que, de conformidad con las previsiones del art. 6 del Estatuto del Personal de la Auditoría</w:t>
      </w:r>
      <w:r w:rsidR="009D4CF4" w:rsidRPr="000A2EB9">
        <w:rPr>
          <w:bCs/>
          <w:lang w:val="es-ES"/>
        </w:rPr>
        <w:t xml:space="preserve">, </w:t>
      </w:r>
      <w:r w:rsidR="009D4CF4" w:rsidRPr="000A2EB9">
        <w:rPr>
          <w:bCs/>
          <w:lang w:val="es-ES"/>
        </w:rPr>
        <w:lastRenderedPageBreak/>
        <w:t xml:space="preserve">ésta </w:t>
      </w:r>
      <w:r w:rsidR="004B4789" w:rsidRPr="000A2EB9">
        <w:rPr>
          <w:bCs/>
          <w:lang w:val="es-ES"/>
        </w:rPr>
        <w:t xml:space="preserve">se encontraba autorizada a incorporar personal "no permanente" sin derecho a estabilidad en las siguientes condiciones de revista: personal de gabinete, contratado o transitorio. </w:t>
      </w:r>
    </w:p>
    <w:p w14:paraId="58610F76" w14:textId="7D52F868" w:rsidR="00904D0B" w:rsidRPr="000A2EB9" w:rsidRDefault="004B4789" w:rsidP="004B4789">
      <w:pPr>
        <w:spacing w:line="360" w:lineRule="auto"/>
        <w:ind w:firstLine="720"/>
        <w:jc w:val="both"/>
        <w:rPr>
          <w:bCs/>
          <w:lang w:val="es-ES"/>
        </w:rPr>
      </w:pPr>
      <w:r w:rsidRPr="000A2EB9">
        <w:rPr>
          <w:bCs/>
          <w:lang w:val="es-ES"/>
        </w:rPr>
        <w:t xml:space="preserve">Y el voto de la minoría destacó </w:t>
      </w:r>
      <w:r w:rsidR="009D4CF4" w:rsidRPr="000A2EB9">
        <w:rPr>
          <w:bCs/>
          <w:lang w:val="es-ES"/>
        </w:rPr>
        <w:t xml:space="preserve">también </w:t>
      </w:r>
      <w:r w:rsidRPr="000A2EB9">
        <w:rPr>
          <w:bCs/>
          <w:lang w:val="es-ES"/>
        </w:rPr>
        <w:t>que el personal contratado por el Colegio de Auditores será afectado, conforme ese marco normativo, exclusivamente a la realización de servicios que, por su naturaleza y transitoriedad, así como la especificidad de los conocimientos del agente contratado, no puedan ser cumplidos por personal permanente, no debiendo desempeñar funciones distintas de las establecidas en el contrato y que el personal transitorio será destinado exclusivamente a la ejecución de servicios, explotaciones, obras o tareas de carácter temporario, eventual o estacional, que no puedan ser realizados por personal permanente, no debiendo cumplir tareas distintas de aquellas para las que hayan sido designados.</w:t>
      </w:r>
    </w:p>
    <w:p w14:paraId="1737001A" w14:textId="18573FF4" w:rsidR="008E48A8" w:rsidRPr="000A2EB9" w:rsidRDefault="004B4789" w:rsidP="004B4789">
      <w:pPr>
        <w:spacing w:line="360" w:lineRule="auto"/>
        <w:ind w:firstLine="720"/>
        <w:jc w:val="both"/>
        <w:rPr>
          <w:bCs/>
          <w:lang w:val="es-ES"/>
        </w:rPr>
      </w:pPr>
      <w:r w:rsidRPr="000A2EB9">
        <w:rPr>
          <w:bCs/>
          <w:lang w:val="es-ES"/>
        </w:rPr>
        <w:t>Según este voto conjunto</w:t>
      </w:r>
      <w:r w:rsidR="009D4CF4" w:rsidRPr="000A2EB9">
        <w:rPr>
          <w:bCs/>
          <w:lang w:val="es-ES"/>
        </w:rPr>
        <w:t>,</w:t>
      </w:r>
      <w:r w:rsidRPr="000A2EB9">
        <w:rPr>
          <w:bCs/>
          <w:lang w:val="es-ES"/>
        </w:rPr>
        <w:t xml:space="preserve"> el nexo establecido con el reclamante no respondió a dichas reglas de excepción y ello excluye toda posibilidad de subsumir la situación del actor en las figuras del agente contratado o transitorio</w:t>
      </w:r>
      <w:r w:rsidR="009D4CF4" w:rsidRPr="000A2EB9">
        <w:rPr>
          <w:bCs/>
          <w:lang w:val="es-ES"/>
        </w:rPr>
        <w:t>.</w:t>
      </w:r>
    </w:p>
    <w:p w14:paraId="3D4C7804" w14:textId="568AB39C" w:rsidR="008E48A8" w:rsidRPr="000A2EB9" w:rsidRDefault="004B4789" w:rsidP="004B4789">
      <w:pPr>
        <w:spacing w:line="360" w:lineRule="auto"/>
        <w:ind w:firstLine="720"/>
        <w:jc w:val="both"/>
        <w:rPr>
          <w:bCs/>
          <w:lang w:val="es-ES"/>
        </w:rPr>
      </w:pPr>
      <w:r w:rsidRPr="000A2EB9">
        <w:rPr>
          <w:bCs/>
          <w:lang w:val="es-ES"/>
        </w:rPr>
        <w:t>Por otro lado, ponderaron que la propia demandada sostuvo en la causa que "[d]ebe quedar en claro que con los contratos como los celebrados con el actor no se intentó paliar la situación eventual y/o excepcional de mayor carga de trabajo a que eluden los citados artículos [10 y 11] del Estatuto del Personal de la AGN".</w:t>
      </w:r>
    </w:p>
    <w:p w14:paraId="647368AD" w14:textId="44BCA642" w:rsidR="004B4789" w:rsidRPr="000A2EB9" w:rsidRDefault="004B4789" w:rsidP="004B4789">
      <w:pPr>
        <w:spacing w:line="360" w:lineRule="auto"/>
        <w:ind w:firstLine="720"/>
        <w:jc w:val="both"/>
        <w:rPr>
          <w:bCs/>
          <w:lang w:val="es-ES"/>
        </w:rPr>
      </w:pPr>
      <w:r w:rsidRPr="000A2EB9">
        <w:rPr>
          <w:bCs/>
          <w:lang w:val="es-ES"/>
        </w:rPr>
        <w:t xml:space="preserve">Por último, el voto que formó minoría ratificó que el desempeño del demandante tuvo naturaleza subordinada ya que tenía por objeto una prestación de servicios intuitu personae relativos a una actividad propia y específica de la Auditoría, como lo es el "control externo del sector público nacional"; </w:t>
      </w:r>
      <w:r w:rsidR="009D4CF4" w:rsidRPr="000A2EB9">
        <w:rPr>
          <w:bCs/>
          <w:lang w:val="es-ES"/>
        </w:rPr>
        <w:t xml:space="preserve">que </w:t>
      </w:r>
      <w:r w:rsidRPr="000A2EB9">
        <w:rPr>
          <w:bCs/>
          <w:lang w:val="es-ES"/>
        </w:rPr>
        <w:t>el prestador debía ajustar la ejecución de las obligaciones a su cargo a las instrucciones y control de la Auditoría, la cual se reservaba la facultad, por razones de servicio, de desafectarlo del proyecto originalmente asignado y afectarlo, consecuentemente</w:t>
      </w:r>
      <w:r w:rsidR="009D4CF4" w:rsidRPr="000A2EB9">
        <w:rPr>
          <w:bCs/>
          <w:lang w:val="es-ES"/>
        </w:rPr>
        <w:t>,</w:t>
      </w:r>
      <w:r w:rsidRPr="000A2EB9">
        <w:rPr>
          <w:bCs/>
          <w:lang w:val="es-ES"/>
        </w:rPr>
        <w:t xml:space="preserve"> a otros u otros proyectos de auditoría; así como también valoraron que, como contraprestación, el contratado percibiría, por mes vencido, una retribución u honorario, según el importe horario fijado y el número de horas de servicio certificadas. </w:t>
      </w:r>
    </w:p>
    <w:p w14:paraId="0CDCE058" w14:textId="6678AAE9" w:rsidR="008E48A8" w:rsidRPr="000A2EB9" w:rsidRDefault="009C3026" w:rsidP="009D4CF4">
      <w:pPr>
        <w:spacing w:line="360" w:lineRule="auto"/>
        <w:ind w:firstLine="720"/>
        <w:jc w:val="both"/>
        <w:rPr>
          <w:bCs/>
          <w:lang w:val="es-ES"/>
        </w:rPr>
      </w:pPr>
      <w:r w:rsidRPr="000A2EB9">
        <w:rPr>
          <w:bCs/>
          <w:lang w:val="es-ES"/>
        </w:rPr>
        <w:t xml:space="preserve">En suma, para la minoría del Alto Tribunal, quedó </w:t>
      </w:r>
      <w:r w:rsidR="004B4789" w:rsidRPr="000A2EB9">
        <w:rPr>
          <w:bCs/>
          <w:lang w:val="es-ES"/>
        </w:rPr>
        <w:t>comprobado en el caso</w:t>
      </w:r>
      <w:r w:rsidRPr="000A2EB9">
        <w:rPr>
          <w:bCs/>
          <w:lang w:val="es-ES"/>
        </w:rPr>
        <w:t xml:space="preserve"> </w:t>
      </w:r>
      <w:r w:rsidR="004B4789" w:rsidRPr="000A2EB9">
        <w:rPr>
          <w:bCs/>
          <w:lang w:val="es-ES"/>
        </w:rPr>
        <w:t>que el actor quedó al margen de toda regulación protectoria</w:t>
      </w:r>
      <w:r w:rsidRPr="000A2EB9">
        <w:rPr>
          <w:bCs/>
          <w:lang w:val="es-ES"/>
        </w:rPr>
        <w:t xml:space="preserve"> </w:t>
      </w:r>
      <w:r w:rsidR="004B4789" w:rsidRPr="000A2EB9">
        <w:rPr>
          <w:bCs/>
          <w:lang w:val="es-ES"/>
        </w:rPr>
        <w:t>contra la ruptura discrecional del vínculo por parte de la</w:t>
      </w:r>
      <w:r w:rsidRPr="000A2EB9">
        <w:rPr>
          <w:bCs/>
          <w:lang w:val="es-ES"/>
        </w:rPr>
        <w:t xml:space="preserve"> </w:t>
      </w:r>
      <w:r w:rsidR="004B4789" w:rsidRPr="000A2EB9">
        <w:rPr>
          <w:bCs/>
          <w:lang w:val="es-ES"/>
        </w:rPr>
        <w:t>administración</w:t>
      </w:r>
      <w:r w:rsidRPr="000A2EB9">
        <w:rPr>
          <w:bCs/>
          <w:lang w:val="es-ES"/>
        </w:rPr>
        <w:t xml:space="preserve">, de modo que, para los jueces Fayt, Maqueda y Zaffaroni, </w:t>
      </w:r>
      <w:r w:rsidR="004B4789" w:rsidRPr="000A2EB9">
        <w:rPr>
          <w:bCs/>
          <w:lang w:val="es-ES"/>
        </w:rPr>
        <w:t>la cuestión planteada en</w:t>
      </w:r>
      <w:r w:rsidRPr="000A2EB9">
        <w:rPr>
          <w:bCs/>
          <w:lang w:val="es-ES"/>
        </w:rPr>
        <w:t xml:space="preserve"> </w:t>
      </w:r>
      <w:r w:rsidR="004B4789" w:rsidRPr="000A2EB9">
        <w:rPr>
          <w:bCs/>
          <w:lang w:val="es-ES"/>
        </w:rPr>
        <w:t xml:space="preserve">el </w:t>
      </w:r>
      <w:r w:rsidRPr="000A2EB9">
        <w:rPr>
          <w:bCs/>
          <w:lang w:val="es-ES"/>
        </w:rPr>
        <w:t xml:space="preserve">caso </w:t>
      </w:r>
      <w:r w:rsidR="004B4789" w:rsidRPr="000A2EB9">
        <w:rPr>
          <w:bCs/>
          <w:lang w:val="es-ES"/>
        </w:rPr>
        <w:t>resulta análoga a la debatida en la causa "Ramos</w:t>
      </w:r>
      <w:r w:rsidRPr="000A2EB9">
        <w:rPr>
          <w:bCs/>
          <w:lang w:val="es-ES"/>
        </w:rPr>
        <w:t xml:space="preserve">”, </w:t>
      </w:r>
      <w:r w:rsidR="004B4789" w:rsidRPr="000A2EB9">
        <w:rPr>
          <w:bCs/>
          <w:lang w:val="es-ES"/>
        </w:rPr>
        <w:t>cuya doctrina resulta aquí plenamente aplicable</w:t>
      </w:r>
    </w:p>
    <w:p w14:paraId="620877B9" w14:textId="77777777" w:rsidR="00C177C4" w:rsidRPr="000A2EB9" w:rsidRDefault="00C177C4" w:rsidP="002C7122">
      <w:pPr>
        <w:spacing w:line="360" w:lineRule="auto"/>
        <w:jc w:val="both"/>
        <w:rPr>
          <w:b/>
          <w:lang w:val="es-ES"/>
        </w:rPr>
      </w:pPr>
    </w:p>
    <w:p w14:paraId="1AB3831F" w14:textId="29ACB780" w:rsidR="004F6ECA" w:rsidRPr="000A2EB9" w:rsidRDefault="002F5665" w:rsidP="00C177C4">
      <w:pPr>
        <w:spacing w:line="360" w:lineRule="auto"/>
        <w:ind w:left="720" w:firstLine="720"/>
        <w:jc w:val="both"/>
        <w:rPr>
          <w:b/>
          <w:lang w:val="es-ES"/>
        </w:rPr>
      </w:pPr>
      <w:r w:rsidRPr="000A2EB9">
        <w:rPr>
          <w:b/>
          <w:lang w:val="es-ES"/>
        </w:rPr>
        <w:t>D</w:t>
      </w:r>
      <w:r w:rsidR="002C7122" w:rsidRPr="000A2EB9">
        <w:rPr>
          <w:b/>
          <w:lang w:val="es-ES"/>
        </w:rPr>
        <w:t>)</w:t>
      </w:r>
      <w:r w:rsidR="009D4CF4" w:rsidRPr="000A2EB9">
        <w:rPr>
          <w:b/>
          <w:lang w:val="es-ES"/>
        </w:rPr>
        <w:t xml:space="preserve"> Fallos en materia de D</w:t>
      </w:r>
      <w:r w:rsidR="004F6ECA" w:rsidRPr="000A2EB9">
        <w:rPr>
          <w:b/>
          <w:lang w:val="es-ES"/>
        </w:rPr>
        <w:t>erecho Individual</w:t>
      </w:r>
      <w:r w:rsidR="009D4CF4" w:rsidRPr="000A2EB9">
        <w:rPr>
          <w:b/>
          <w:lang w:val="es-ES"/>
        </w:rPr>
        <w:t>.</w:t>
      </w:r>
    </w:p>
    <w:p w14:paraId="03C1CA22" w14:textId="77777777" w:rsidR="00C177C4" w:rsidRPr="000A2EB9" w:rsidRDefault="00C177C4" w:rsidP="002C7122">
      <w:pPr>
        <w:spacing w:line="360" w:lineRule="auto"/>
        <w:jc w:val="both"/>
        <w:rPr>
          <w:b/>
          <w:lang w:val="es-ES"/>
        </w:rPr>
      </w:pPr>
    </w:p>
    <w:p w14:paraId="5122E345" w14:textId="77777777" w:rsidR="00C177C4" w:rsidRPr="000A2EB9" w:rsidRDefault="002F5665" w:rsidP="002C7122">
      <w:pPr>
        <w:spacing w:line="360" w:lineRule="auto"/>
        <w:jc w:val="both"/>
        <w:rPr>
          <w:b/>
          <w:lang w:val="es-ES"/>
        </w:rPr>
      </w:pPr>
      <w:r w:rsidRPr="000A2EB9">
        <w:rPr>
          <w:b/>
          <w:lang w:val="es-ES"/>
        </w:rPr>
        <w:t xml:space="preserve">D) </w:t>
      </w:r>
      <w:r w:rsidR="004F6ECA" w:rsidRPr="000A2EB9">
        <w:rPr>
          <w:b/>
          <w:lang w:val="es-ES"/>
        </w:rPr>
        <w:t>1.</w:t>
      </w:r>
      <w:r w:rsidR="009D4CF4" w:rsidRPr="000A2EB9">
        <w:rPr>
          <w:b/>
          <w:lang w:val="es-ES"/>
        </w:rPr>
        <w:t xml:space="preserve"> Decisiones </w:t>
      </w:r>
      <w:r w:rsidR="002C7122" w:rsidRPr="000A2EB9">
        <w:rPr>
          <w:b/>
          <w:lang w:val="es-ES"/>
        </w:rPr>
        <w:t>sobre</w:t>
      </w:r>
      <w:r w:rsidR="009D4CF4" w:rsidRPr="000A2EB9">
        <w:rPr>
          <w:b/>
          <w:lang w:val="es-ES"/>
        </w:rPr>
        <w:t xml:space="preserve"> la</w:t>
      </w:r>
      <w:r w:rsidR="002C7122" w:rsidRPr="000A2EB9">
        <w:rPr>
          <w:b/>
          <w:lang w:val="es-ES"/>
        </w:rPr>
        <w:t xml:space="preserve"> configuración de la dependencia laboral y su </w:t>
      </w:r>
    </w:p>
    <w:p w14:paraId="61591CB1" w14:textId="2D7D346A" w:rsidR="002C7122" w:rsidRPr="000A2EB9" w:rsidRDefault="00C177C4" w:rsidP="002C7122">
      <w:pPr>
        <w:spacing w:line="360" w:lineRule="auto"/>
        <w:jc w:val="both"/>
        <w:rPr>
          <w:b/>
          <w:lang w:val="es-ES"/>
        </w:rPr>
      </w:pPr>
      <w:r w:rsidRPr="000A2EB9">
        <w:rPr>
          <w:b/>
          <w:lang w:val="es-ES"/>
        </w:rPr>
        <w:t xml:space="preserve">      </w:t>
      </w:r>
      <w:r w:rsidR="002C7122" w:rsidRPr="000A2EB9">
        <w:rPr>
          <w:b/>
          <w:lang w:val="es-ES"/>
        </w:rPr>
        <w:t>vinculación con contratos civiles.</w:t>
      </w:r>
    </w:p>
    <w:p w14:paraId="0BB68811" w14:textId="119EE2FF" w:rsidR="002C7122" w:rsidRPr="000A2EB9" w:rsidRDefault="00D20EE8" w:rsidP="002C7122">
      <w:pPr>
        <w:spacing w:line="360" w:lineRule="auto"/>
        <w:jc w:val="both"/>
        <w:rPr>
          <w:bCs/>
          <w:lang w:val="es-ES"/>
        </w:rPr>
      </w:pPr>
      <w:r w:rsidRPr="000A2EB9">
        <w:rPr>
          <w:bCs/>
          <w:lang w:val="es-ES"/>
        </w:rPr>
        <w:tab/>
        <w:t>Debo comenzar este punto con una advertencia</w:t>
      </w:r>
      <w:r w:rsidR="009D4CF4" w:rsidRPr="000A2EB9">
        <w:rPr>
          <w:bCs/>
          <w:lang w:val="es-ES"/>
        </w:rPr>
        <w:t>: l</w:t>
      </w:r>
      <w:r w:rsidR="006D4684" w:rsidRPr="000A2EB9">
        <w:rPr>
          <w:bCs/>
          <w:lang w:val="es-ES"/>
        </w:rPr>
        <w:t xml:space="preserve">os 7 </w:t>
      </w:r>
      <w:r w:rsidRPr="000A2EB9">
        <w:rPr>
          <w:bCs/>
          <w:lang w:val="es-ES"/>
        </w:rPr>
        <w:t xml:space="preserve">pronunciamientos que </w:t>
      </w:r>
      <w:r w:rsidR="009D4CF4" w:rsidRPr="000A2EB9">
        <w:rPr>
          <w:bCs/>
          <w:lang w:val="es-ES"/>
        </w:rPr>
        <w:t>reseña</w:t>
      </w:r>
      <w:r w:rsidRPr="000A2EB9">
        <w:rPr>
          <w:bCs/>
          <w:lang w:val="es-ES"/>
        </w:rPr>
        <w:t xml:space="preserve">ré versan sobre la interpretación de las normas de la Ley de Contrato de Trabajo, </w:t>
      </w:r>
      <w:r w:rsidRPr="000A2EB9">
        <w:rPr>
          <w:bCs/>
          <w:lang w:val="es-ES"/>
        </w:rPr>
        <w:lastRenderedPageBreak/>
        <w:t>en particular de los arts. 21 a 23, es decir sobre derecho común y no federal, y sobre la valoración de las presunciones legales y las pruebas producidas.</w:t>
      </w:r>
    </w:p>
    <w:p w14:paraId="16D37BFD" w14:textId="485C4E9D" w:rsidR="00D20EE8" w:rsidRPr="000A2EB9" w:rsidRDefault="00D20EE8" w:rsidP="002C7122">
      <w:pPr>
        <w:spacing w:line="360" w:lineRule="auto"/>
        <w:jc w:val="both"/>
        <w:rPr>
          <w:bCs/>
          <w:lang w:val="es-ES"/>
        </w:rPr>
      </w:pPr>
      <w:r w:rsidRPr="000A2EB9">
        <w:rPr>
          <w:bCs/>
          <w:lang w:val="es-ES"/>
        </w:rPr>
        <w:tab/>
        <w:t xml:space="preserve">Quiero esto decir que los </w:t>
      </w:r>
      <w:r w:rsidR="006D4684" w:rsidRPr="000A2EB9">
        <w:rPr>
          <w:bCs/>
          <w:lang w:val="es-ES"/>
        </w:rPr>
        <w:t>7</w:t>
      </w:r>
      <w:r w:rsidRPr="000A2EB9">
        <w:rPr>
          <w:bCs/>
          <w:lang w:val="es-ES"/>
        </w:rPr>
        <w:t xml:space="preserve"> fallos son, en principio, extraños a la competencia que la Corte Suprema tiene por la vía del recurso extraordinario. Sin embargo, y como se verá, en todos ellos el Máximo Tribunal apeló a la doctrina de la sentencia arbitraria para descalificar decisiones de las instancias ordinarias</w:t>
      </w:r>
      <w:r w:rsidR="00014DA2" w:rsidRPr="000A2EB9">
        <w:rPr>
          <w:bCs/>
          <w:lang w:val="es-ES"/>
        </w:rPr>
        <w:t>, aunque lo hizo con una intensidad y en una línea tan marcada que, sin duda, ha señalado a los Tribunales inferiores una clara posición.</w:t>
      </w:r>
    </w:p>
    <w:p w14:paraId="3FF1E8B2" w14:textId="62544776" w:rsidR="00014DA2" w:rsidRPr="000A2EB9" w:rsidRDefault="00014DA2" w:rsidP="002C7122">
      <w:pPr>
        <w:spacing w:line="360" w:lineRule="auto"/>
        <w:jc w:val="both"/>
        <w:rPr>
          <w:bCs/>
          <w:lang w:val="es-ES"/>
        </w:rPr>
      </w:pPr>
      <w:r w:rsidRPr="000A2EB9">
        <w:rPr>
          <w:bCs/>
          <w:lang w:val="es-ES"/>
        </w:rPr>
        <w:tab/>
        <w:t xml:space="preserve">Como se verá, los casos resueltos tienen en común que no refieren a trabajadores típicos, obreros o empleados, sino que atañen en </w:t>
      </w:r>
      <w:r w:rsidR="00803C2B" w:rsidRPr="000A2EB9">
        <w:rPr>
          <w:bCs/>
          <w:lang w:val="es-ES"/>
        </w:rPr>
        <w:t xml:space="preserve">6 </w:t>
      </w:r>
      <w:r w:rsidRPr="000A2EB9">
        <w:rPr>
          <w:bCs/>
          <w:lang w:val="es-ES"/>
        </w:rPr>
        <w:t>de las causas a profesionales</w:t>
      </w:r>
      <w:r w:rsidR="00803C2B" w:rsidRPr="000A2EB9">
        <w:rPr>
          <w:bCs/>
          <w:lang w:val="es-ES"/>
        </w:rPr>
        <w:t xml:space="preserve"> de la medicina</w:t>
      </w:r>
      <w:r w:rsidRPr="000A2EB9">
        <w:rPr>
          <w:bCs/>
          <w:lang w:val="es-ES"/>
        </w:rPr>
        <w:t xml:space="preserve"> vinculados a organizaciones empresarias</w:t>
      </w:r>
      <w:r w:rsidR="00803C2B" w:rsidRPr="000A2EB9">
        <w:rPr>
          <w:bCs/>
          <w:lang w:val="es-ES"/>
        </w:rPr>
        <w:t xml:space="preserve"> prestadoras de servicios de salud</w:t>
      </w:r>
      <w:r w:rsidRPr="000A2EB9">
        <w:rPr>
          <w:bCs/>
          <w:lang w:val="es-ES"/>
        </w:rPr>
        <w:t>, situaciones en las que las fronteras entre el contrato de trabajo y las locaciones, de servicios o de obra, son difusas.</w:t>
      </w:r>
    </w:p>
    <w:p w14:paraId="52ABFEBE" w14:textId="06A0966B" w:rsidR="00014DA2" w:rsidRPr="000A2EB9" w:rsidRDefault="00014DA2" w:rsidP="002C7122">
      <w:pPr>
        <w:spacing w:line="360" w:lineRule="auto"/>
        <w:jc w:val="both"/>
        <w:rPr>
          <w:bCs/>
          <w:lang w:val="es-ES"/>
        </w:rPr>
      </w:pPr>
      <w:r w:rsidRPr="000A2EB9">
        <w:rPr>
          <w:bCs/>
          <w:lang w:val="es-ES"/>
        </w:rPr>
        <w:tab/>
        <w:t xml:space="preserve">Me parece pertinente anteceder la descripción de las decisiones de la Corte Suprema informando que la Ley de Contrato de Trabajo dedica </w:t>
      </w:r>
      <w:r w:rsidR="00803C2B" w:rsidRPr="000A2EB9">
        <w:rPr>
          <w:bCs/>
          <w:lang w:val="es-ES"/>
        </w:rPr>
        <w:t xml:space="preserve">2 </w:t>
      </w:r>
      <w:r w:rsidRPr="000A2EB9">
        <w:rPr>
          <w:bCs/>
          <w:lang w:val="es-ES"/>
        </w:rPr>
        <w:t>artículos para definir, y diferenciar, los conceptos de “contrato de trabajo” y de “relación de trabajo” y otro precepto que establece una presunción iuris tantum que facilita la detección del trabajo subordinado.</w:t>
      </w:r>
    </w:p>
    <w:p w14:paraId="0CEBD94D" w14:textId="5346D813" w:rsidR="008F5B0B" w:rsidRPr="000A2EB9" w:rsidRDefault="00014DA2" w:rsidP="008F5B0B">
      <w:pPr>
        <w:spacing w:line="360" w:lineRule="auto"/>
        <w:jc w:val="both"/>
        <w:rPr>
          <w:bCs/>
          <w:lang w:val="es-ES"/>
        </w:rPr>
      </w:pPr>
      <w:r w:rsidRPr="000A2EB9">
        <w:rPr>
          <w:bCs/>
          <w:lang w:val="es-ES"/>
        </w:rPr>
        <w:tab/>
        <w:t xml:space="preserve">Dice el art. 21 </w:t>
      </w:r>
      <w:r w:rsidR="00803C2B" w:rsidRPr="000A2EB9">
        <w:rPr>
          <w:bCs/>
          <w:lang w:val="es-ES"/>
        </w:rPr>
        <w:t xml:space="preserve">de la Ley de Contrato de Trabajo </w:t>
      </w:r>
      <w:r w:rsidRPr="000A2EB9">
        <w:rPr>
          <w:bCs/>
          <w:lang w:val="es-ES"/>
        </w:rPr>
        <w:t xml:space="preserve">que </w:t>
      </w:r>
      <w:r w:rsidR="008F5B0B" w:rsidRPr="000A2EB9">
        <w:rPr>
          <w:bCs/>
          <w:lang w:val="es-ES"/>
        </w:rPr>
        <w:t>“</w:t>
      </w:r>
      <w:r w:rsidR="008F5B0B" w:rsidRPr="000A2EB9">
        <w:rPr>
          <w:bCs/>
          <w:i/>
          <w:iCs/>
          <w:lang w:val="es-ES"/>
        </w:rPr>
        <w:t>Habrá contrato de trabajo, cualquiera sea su forma o denominación, siempre que una persona física se obligue a realizar actos, ejecutar obras o prestar servicios en favor de la otra y bajo la dependencia de ésta, durante un período determinado o indeterminado de tiempo, mediante el pago de una remuneración</w:t>
      </w:r>
      <w:r w:rsidR="008F5B0B" w:rsidRPr="000A2EB9">
        <w:rPr>
          <w:bCs/>
          <w:lang w:val="es-ES"/>
        </w:rPr>
        <w:t>…”; mientras que, según el art. 22 del mismo cuerpo normativo, “</w:t>
      </w:r>
      <w:r w:rsidR="008F5B0B" w:rsidRPr="000A2EB9">
        <w:rPr>
          <w:bCs/>
          <w:i/>
          <w:iCs/>
          <w:lang w:val="es-ES"/>
        </w:rPr>
        <w:t>Habrá relación de trabajo cuando una persona realice actos, ejecute obras o preste servicio en favor de otra, bajo la dependencia de ésta en forma voluntaria y mediante el pago de una remuneración, cualquiera sea el acto que le dé origen</w:t>
      </w:r>
      <w:r w:rsidR="008F5B0B" w:rsidRPr="000A2EB9">
        <w:rPr>
          <w:bCs/>
          <w:lang w:val="es-ES"/>
        </w:rPr>
        <w:t>”.</w:t>
      </w:r>
    </w:p>
    <w:p w14:paraId="205DC34C" w14:textId="0036275B" w:rsidR="008F5B0B" w:rsidRPr="000A2EB9" w:rsidRDefault="008F5B0B" w:rsidP="008F5B0B">
      <w:pPr>
        <w:spacing w:line="360" w:lineRule="auto"/>
        <w:jc w:val="both"/>
        <w:rPr>
          <w:bCs/>
          <w:lang w:val="es-ES"/>
        </w:rPr>
      </w:pPr>
      <w:r w:rsidRPr="000A2EB9">
        <w:rPr>
          <w:bCs/>
          <w:lang w:val="es-ES"/>
        </w:rPr>
        <w:tab/>
        <w:t>Como dije, la Ley de Contrato de Trabajo trae una presunción en el art. 23, según la cual “</w:t>
      </w:r>
      <w:r w:rsidRPr="000A2EB9">
        <w:rPr>
          <w:bCs/>
          <w:i/>
          <w:iCs/>
          <w:lang w:val="es-ES"/>
        </w:rPr>
        <w:t>El hecho de la prestación de servicios hace presumir la existencia de un contrato de trabajo, salvo que por las circunstancias, las relaciones o causas que lo motiven se demostrase lo contrario</w:t>
      </w:r>
      <w:r w:rsidRPr="000A2EB9">
        <w:rPr>
          <w:bCs/>
          <w:lang w:val="es-ES"/>
        </w:rPr>
        <w:t>” (</w:t>
      </w:r>
      <w:r w:rsidRPr="000A2EB9">
        <w:rPr>
          <w:rStyle w:val="Refdenotaalpie"/>
          <w:bCs/>
          <w:lang w:val="es-ES"/>
        </w:rPr>
        <w:footnoteReference w:id="48"/>
      </w:r>
      <w:r w:rsidRPr="000A2EB9">
        <w:rPr>
          <w:bCs/>
          <w:lang w:val="es-ES"/>
        </w:rPr>
        <w:t>)</w:t>
      </w:r>
      <w:r w:rsidR="00BC1F6D" w:rsidRPr="000A2EB9">
        <w:rPr>
          <w:bCs/>
          <w:lang w:val="es-ES"/>
        </w:rPr>
        <w:t>; añadiendo esta norma que “</w:t>
      </w:r>
      <w:r w:rsidR="00BC1F6D" w:rsidRPr="000A2EB9">
        <w:rPr>
          <w:bCs/>
          <w:i/>
          <w:iCs/>
          <w:lang w:val="es-ES"/>
        </w:rPr>
        <w:t xml:space="preserve">Esa presunción operará igualmente </w:t>
      </w:r>
      <w:r w:rsidR="00484750" w:rsidRPr="000A2EB9">
        <w:rPr>
          <w:bCs/>
          <w:i/>
          <w:iCs/>
          <w:lang w:val="es-ES"/>
        </w:rPr>
        <w:t>aun</w:t>
      </w:r>
      <w:r w:rsidR="00BC1F6D" w:rsidRPr="000A2EB9">
        <w:rPr>
          <w:bCs/>
          <w:i/>
          <w:iCs/>
          <w:lang w:val="es-ES"/>
        </w:rPr>
        <w:t xml:space="preserve"> cuando se utilicen figuras no laborales, para caracterizar al contrato, y en tanto que por las circunstancias no sea dado calificar de empresario a quien presta el servicio</w:t>
      </w:r>
      <w:r w:rsidR="00BC1F6D" w:rsidRPr="000A2EB9">
        <w:rPr>
          <w:bCs/>
          <w:lang w:val="es-ES"/>
        </w:rPr>
        <w:t>”.</w:t>
      </w:r>
      <w:r w:rsidR="00BC1F6D" w:rsidRPr="000A2EB9">
        <w:rPr>
          <w:bCs/>
          <w:lang w:val="es-ES"/>
        </w:rPr>
        <w:tab/>
      </w:r>
    </w:p>
    <w:p w14:paraId="01716E8F" w14:textId="44CE26B0" w:rsidR="00637447" w:rsidRPr="000A2EB9" w:rsidRDefault="00637447" w:rsidP="008F5B0B">
      <w:pPr>
        <w:spacing w:line="360" w:lineRule="auto"/>
        <w:jc w:val="both"/>
        <w:rPr>
          <w:bCs/>
          <w:lang w:val="es-ES"/>
        </w:rPr>
      </w:pPr>
      <w:r w:rsidRPr="000A2EB9">
        <w:rPr>
          <w:bCs/>
          <w:lang w:val="es-ES"/>
        </w:rPr>
        <w:tab/>
        <w:t>En base a esa tríada normativa, cuando en un reclamo judicial está reconocido o demostrado que una persona</w:t>
      </w:r>
      <w:r w:rsidR="00803C2B" w:rsidRPr="000A2EB9">
        <w:rPr>
          <w:bCs/>
          <w:lang w:val="es-ES"/>
        </w:rPr>
        <w:t>, aún</w:t>
      </w:r>
      <w:r w:rsidRPr="000A2EB9">
        <w:rPr>
          <w:bCs/>
          <w:lang w:val="es-ES"/>
        </w:rPr>
        <w:t xml:space="preserve"> con diplomatura profesional</w:t>
      </w:r>
      <w:r w:rsidR="00803C2B" w:rsidRPr="000A2EB9">
        <w:rPr>
          <w:bCs/>
          <w:lang w:val="es-ES"/>
        </w:rPr>
        <w:t xml:space="preserve">, sea </w:t>
      </w:r>
      <w:r w:rsidRPr="000A2EB9">
        <w:rPr>
          <w:bCs/>
          <w:lang w:val="es-ES"/>
        </w:rPr>
        <w:t>médico, odontólogo, contador, abogado, ingeniero, etc.</w:t>
      </w:r>
      <w:r w:rsidR="00803C2B" w:rsidRPr="000A2EB9">
        <w:rPr>
          <w:bCs/>
          <w:lang w:val="es-ES"/>
        </w:rPr>
        <w:t xml:space="preserve">, </w:t>
      </w:r>
      <w:r w:rsidRPr="000A2EB9">
        <w:rPr>
          <w:bCs/>
          <w:lang w:val="es-ES"/>
        </w:rPr>
        <w:t xml:space="preserve">prestó servicios a favor de una organización </w:t>
      </w:r>
      <w:r w:rsidRPr="000A2EB9">
        <w:rPr>
          <w:bCs/>
          <w:lang w:val="es-ES"/>
        </w:rPr>
        <w:lastRenderedPageBreak/>
        <w:t xml:space="preserve">empresarial que los utilizó para sus propios fines, los tribunales en general aplican automáticamente la citada presunción, quedando a cargo de los entes demandados </w:t>
      </w:r>
      <w:r w:rsidR="00803C2B" w:rsidRPr="000A2EB9">
        <w:rPr>
          <w:bCs/>
          <w:lang w:val="es-ES"/>
        </w:rPr>
        <w:t xml:space="preserve">desvirtuarla </w:t>
      </w:r>
      <w:r w:rsidRPr="000A2EB9">
        <w:rPr>
          <w:bCs/>
          <w:lang w:val="es-ES"/>
        </w:rPr>
        <w:t>demostrando que no hubo una prestación subordinada sino autónoma o independiente.</w:t>
      </w:r>
    </w:p>
    <w:p w14:paraId="7E8DCF8B" w14:textId="72ED375C" w:rsidR="00091EDA" w:rsidRPr="000A2EB9" w:rsidRDefault="00803C2B" w:rsidP="00803C2B">
      <w:pPr>
        <w:spacing w:line="360" w:lineRule="auto"/>
        <w:jc w:val="both"/>
        <w:rPr>
          <w:bCs/>
          <w:lang w:val="es-ES"/>
        </w:rPr>
      </w:pPr>
      <w:r w:rsidRPr="000A2EB9">
        <w:rPr>
          <w:bCs/>
          <w:lang w:val="es-ES"/>
        </w:rPr>
        <w:tab/>
        <w:t xml:space="preserve">Expuesto el marco legal, cabe ahora decir que el </w:t>
      </w:r>
      <w:r w:rsidR="000A26F9" w:rsidRPr="000A2EB9">
        <w:rPr>
          <w:bCs/>
          <w:lang w:val="es-ES"/>
        </w:rPr>
        <w:t xml:space="preserve">19/02/2015 comenzó esta saga con el caso </w:t>
      </w:r>
      <w:r w:rsidR="000A26F9" w:rsidRPr="000A2EB9">
        <w:rPr>
          <w:b/>
          <w:lang w:val="es-ES"/>
        </w:rPr>
        <w:t>“Cairone, Mirta G. C/ Sociedad Italiana de Beneficencia-Hospital Italiano”</w:t>
      </w:r>
      <w:r w:rsidR="000A26F9" w:rsidRPr="000A2EB9">
        <w:rPr>
          <w:bCs/>
          <w:lang w:val="es-ES"/>
        </w:rPr>
        <w:t>, atinente a un médico anestesiólogo, el Dr. Estala, de quien  la actora fue su cónyuge hasta el fallecimiento de dicho profesional</w:t>
      </w:r>
      <w:r w:rsidR="00842223" w:rsidRPr="000A2EB9">
        <w:rPr>
          <w:bCs/>
          <w:lang w:val="es-ES"/>
        </w:rPr>
        <w:t>, y quien laboró 32 años vinculado a la entidad demandada.</w:t>
      </w:r>
    </w:p>
    <w:p w14:paraId="0F11E8C2" w14:textId="65F4B6BB" w:rsidR="007E7A12" w:rsidRPr="000A2EB9" w:rsidRDefault="00091EDA" w:rsidP="000A26F9">
      <w:pPr>
        <w:spacing w:line="360" w:lineRule="auto"/>
        <w:ind w:firstLine="720"/>
        <w:jc w:val="both"/>
        <w:rPr>
          <w:bCs/>
          <w:lang w:val="es-ES"/>
        </w:rPr>
      </w:pPr>
      <w:r w:rsidRPr="000A2EB9">
        <w:rPr>
          <w:bCs/>
          <w:lang w:val="es-ES"/>
        </w:rPr>
        <w:t xml:space="preserve">La Sala I de la CNAT había confirmado la sentencia de primera instancia que admitió la demanda al entender que la relación que uniera al </w:t>
      </w:r>
      <w:r w:rsidR="007E7A12" w:rsidRPr="000A2EB9">
        <w:rPr>
          <w:bCs/>
          <w:lang w:val="es-ES"/>
        </w:rPr>
        <w:t xml:space="preserve">médico anestesiólogo y el Hospital </w:t>
      </w:r>
      <w:r w:rsidR="00490E22" w:rsidRPr="000A2EB9">
        <w:rPr>
          <w:bCs/>
          <w:lang w:val="es-ES"/>
        </w:rPr>
        <w:t>demandado</w:t>
      </w:r>
      <w:r w:rsidR="007E7A12" w:rsidRPr="000A2EB9">
        <w:rPr>
          <w:bCs/>
          <w:lang w:val="es-ES"/>
        </w:rPr>
        <w:t xml:space="preserve"> fue un contrato de trabajo, teniendo en cuenta para ello la presunción del art. 23 de la LCT y la prueba aportada a la causa.</w:t>
      </w:r>
    </w:p>
    <w:p w14:paraId="3E324B27" w14:textId="43309F14" w:rsidR="007E7A12" w:rsidRPr="000A2EB9" w:rsidRDefault="007E7A12" w:rsidP="000A26F9">
      <w:pPr>
        <w:spacing w:line="360" w:lineRule="auto"/>
        <w:ind w:firstLine="720"/>
        <w:jc w:val="both"/>
        <w:rPr>
          <w:bCs/>
          <w:lang w:val="es-ES"/>
        </w:rPr>
      </w:pPr>
      <w:r w:rsidRPr="000A2EB9">
        <w:rPr>
          <w:bCs/>
          <w:lang w:val="es-ES"/>
        </w:rPr>
        <w:t>Los ministros Highton y Maqueda remitieron al Dictamen Fiscal</w:t>
      </w:r>
      <w:r w:rsidR="00842223" w:rsidRPr="000A2EB9">
        <w:rPr>
          <w:bCs/>
          <w:lang w:val="es-ES"/>
        </w:rPr>
        <w:t xml:space="preserve"> dado por la Procuradora Fiscal Irma A. García Netto</w:t>
      </w:r>
      <w:r w:rsidRPr="000A2EB9">
        <w:rPr>
          <w:bCs/>
          <w:lang w:val="es-ES"/>
        </w:rPr>
        <w:t xml:space="preserve"> </w:t>
      </w:r>
      <w:r w:rsidR="00842223" w:rsidRPr="000A2EB9">
        <w:rPr>
          <w:bCs/>
          <w:lang w:val="es-ES"/>
        </w:rPr>
        <w:t>en</w:t>
      </w:r>
      <w:r w:rsidRPr="000A2EB9">
        <w:rPr>
          <w:bCs/>
          <w:lang w:val="es-ES"/>
        </w:rPr>
        <w:t xml:space="preserve"> fecha 03/02/2014, haciendo suya la propuesta de descartar la sentencia de la Cámara por arbitraria</w:t>
      </w:r>
      <w:r w:rsidR="00803C2B" w:rsidRPr="000A2EB9">
        <w:rPr>
          <w:bCs/>
          <w:lang w:val="es-ES"/>
        </w:rPr>
        <w:t xml:space="preserve">, mientras </w:t>
      </w:r>
      <w:r w:rsidRPr="000A2EB9">
        <w:rPr>
          <w:bCs/>
          <w:lang w:val="es-ES"/>
        </w:rPr>
        <w:t>el juez Lorenzetti concurrió a esa decisión con un voto propio que, como luego se verá, avanza mucho más allá de la mera descalificación formal de la decisión de la Cámara.</w:t>
      </w:r>
    </w:p>
    <w:p w14:paraId="4A1BA3B8" w14:textId="6BA8CA70" w:rsidR="00842223" w:rsidRPr="000A2EB9" w:rsidRDefault="007E7A12" w:rsidP="00842223">
      <w:pPr>
        <w:spacing w:line="360" w:lineRule="auto"/>
        <w:ind w:firstLine="720"/>
        <w:jc w:val="both"/>
        <w:rPr>
          <w:bCs/>
          <w:lang w:val="es-ES"/>
        </w:rPr>
      </w:pPr>
      <w:r w:rsidRPr="000A2EB9">
        <w:rPr>
          <w:bCs/>
          <w:lang w:val="es-ES"/>
        </w:rPr>
        <w:t xml:space="preserve">En dicho </w:t>
      </w:r>
      <w:r w:rsidR="00803C2B" w:rsidRPr="000A2EB9">
        <w:rPr>
          <w:bCs/>
          <w:lang w:val="es-ES"/>
        </w:rPr>
        <w:t>D</w:t>
      </w:r>
      <w:r w:rsidRPr="000A2EB9">
        <w:rPr>
          <w:bCs/>
          <w:lang w:val="es-ES"/>
        </w:rPr>
        <w:t xml:space="preserve">ictamen </w:t>
      </w:r>
      <w:r w:rsidR="00803C2B" w:rsidRPr="000A2EB9">
        <w:rPr>
          <w:bCs/>
          <w:lang w:val="es-ES"/>
        </w:rPr>
        <w:t xml:space="preserve">Fiscal </w:t>
      </w:r>
      <w:r w:rsidRPr="000A2EB9">
        <w:rPr>
          <w:bCs/>
          <w:lang w:val="es-ES"/>
        </w:rPr>
        <w:t xml:space="preserve">se sostuvo que </w:t>
      </w:r>
      <w:r w:rsidR="00842223" w:rsidRPr="000A2EB9">
        <w:rPr>
          <w:bCs/>
          <w:lang w:val="es-ES"/>
        </w:rPr>
        <w:t xml:space="preserve">la Cámara dio un tratamiento inadecuado a la controversia de acuerdo con las constancias de la causa y las normas aplicables y que tal decisión se sustenta en afirmaciones dogmáticas que le dan un fundamento sólo aparente, máxime cuando se apoya en citas y remisiones parciales a elementos probatorios de otros procesos. </w:t>
      </w:r>
    </w:p>
    <w:p w14:paraId="289FA2A7" w14:textId="1A62228D" w:rsidR="007E7A12" w:rsidRPr="000A2EB9" w:rsidRDefault="00842223" w:rsidP="00842223">
      <w:pPr>
        <w:spacing w:line="360" w:lineRule="auto"/>
        <w:ind w:firstLine="720"/>
        <w:jc w:val="both"/>
        <w:rPr>
          <w:bCs/>
          <w:lang w:val="es-ES"/>
        </w:rPr>
      </w:pPr>
      <w:r w:rsidRPr="000A2EB9">
        <w:rPr>
          <w:bCs/>
          <w:lang w:val="es-ES"/>
        </w:rPr>
        <w:t xml:space="preserve">Señaló </w:t>
      </w:r>
      <w:r w:rsidR="00803C2B" w:rsidRPr="000A2EB9">
        <w:rPr>
          <w:bCs/>
          <w:lang w:val="es-ES"/>
        </w:rPr>
        <w:t>la Procuradora Fiscal en su opinión</w:t>
      </w:r>
      <w:r w:rsidRPr="000A2EB9">
        <w:rPr>
          <w:bCs/>
          <w:lang w:val="es-ES"/>
        </w:rPr>
        <w:t xml:space="preserve"> que el Tribunal a quo no dio adecuada valoración a las alegaciones de la demandada en lo concerniente a las circunstancias particulares y singulares del vínculo entre el anestesiólogo y la Sociedad Italiana de Beneficencia, en el que interviene un tercero -la Asociación de Anestesia, Analgesia y Reanimación de Buenos Aires (AAARBA)- nada menos que en el intercambio económico de la relación, lo que desdibuja, a juicio de quien dictaminara, la figura de "trabajador" prevista en el artículo 25 de la LCT (</w:t>
      </w:r>
      <w:r w:rsidRPr="000A2EB9">
        <w:rPr>
          <w:rStyle w:val="Refdenotaalpie"/>
          <w:bCs/>
          <w:lang w:val="es-ES"/>
        </w:rPr>
        <w:footnoteReference w:id="49"/>
      </w:r>
      <w:r w:rsidRPr="000A2EB9">
        <w:rPr>
          <w:bCs/>
          <w:lang w:val="es-ES"/>
        </w:rPr>
        <w:t>). Esas particularidades, sostuvo la Procuradora Fiscal, exigía</w:t>
      </w:r>
      <w:r w:rsidR="00803C2B" w:rsidRPr="000A2EB9">
        <w:rPr>
          <w:bCs/>
          <w:lang w:val="es-ES"/>
        </w:rPr>
        <w:t>n</w:t>
      </w:r>
      <w:r w:rsidRPr="000A2EB9">
        <w:rPr>
          <w:bCs/>
          <w:lang w:val="es-ES"/>
        </w:rPr>
        <w:t xml:space="preserve"> una mayor consideración respecto de las cuestiones sometidas a debate y, en su opinión, el fallo de la Cámara </w:t>
      </w:r>
      <w:r w:rsidR="00803C2B" w:rsidRPr="000A2EB9">
        <w:rPr>
          <w:bCs/>
          <w:lang w:val="es-ES"/>
        </w:rPr>
        <w:t>resultó</w:t>
      </w:r>
      <w:r w:rsidRPr="000A2EB9">
        <w:rPr>
          <w:bCs/>
          <w:lang w:val="es-ES"/>
        </w:rPr>
        <w:t xml:space="preserve"> dogmático y, en lo sustancial, remit</w:t>
      </w:r>
      <w:r w:rsidR="00803C2B" w:rsidRPr="000A2EB9">
        <w:rPr>
          <w:bCs/>
          <w:lang w:val="es-ES"/>
        </w:rPr>
        <w:t>ió</w:t>
      </w:r>
      <w:r w:rsidRPr="000A2EB9">
        <w:rPr>
          <w:bCs/>
          <w:lang w:val="es-ES"/>
        </w:rPr>
        <w:t xml:space="preserve"> a un precedente</w:t>
      </w:r>
      <w:r w:rsidR="00813C02" w:rsidRPr="000A2EB9">
        <w:rPr>
          <w:bCs/>
          <w:lang w:val="es-ES"/>
        </w:rPr>
        <w:t xml:space="preserve"> </w:t>
      </w:r>
      <w:r w:rsidRPr="000A2EB9">
        <w:rPr>
          <w:bCs/>
          <w:lang w:val="es-ES"/>
        </w:rPr>
        <w:t>que se refiere a una situación fáctica distinta en tanto en aquel caso se trataba de un médico cirujano, que tenía una forma de relación y un intercambio salarial que no son similar</w:t>
      </w:r>
      <w:r w:rsidR="00803C2B" w:rsidRPr="000A2EB9">
        <w:rPr>
          <w:bCs/>
          <w:lang w:val="es-ES"/>
        </w:rPr>
        <w:t>es</w:t>
      </w:r>
      <w:r w:rsidRPr="000A2EB9">
        <w:rPr>
          <w:bCs/>
          <w:lang w:val="es-ES"/>
        </w:rPr>
        <w:t xml:space="preserve"> a los de un anestesiólogo.</w:t>
      </w:r>
    </w:p>
    <w:p w14:paraId="602BF66D" w14:textId="3B770DE3" w:rsidR="002C7122" w:rsidRPr="000A2EB9" w:rsidRDefault="00A62F72" w:rsidP="00A62F72">
      <w:pPr>
        <w:spacing w:line="360" w:lineRule="auto"/>
        <w:jc w:val="both"/>
        <w:rPr>
          <w:bCs/>
          <w:lang w:val="es-ES"/>
        </w:rPr>
      </w:pPr>
      <w:r w:rsidRPr="000A2EB9">
        <w:rPr>
          <w:bCs/>
          <w:lang w:val="es-ES"/>
        </w:rPr>
        <w:t xml:space="preserve"> </w:t>
      </w:r>
      <w:r w:rsidRPr="000A2EB9">
        <w:rPr>
          <w:bCs/>
          <w:lang w:val="es-ES"/>
        </w:rPr>
        <w:tab/>
        <w:t xml:space="preserve">También dicho Dictamen reprochó al pronunciamiento de la Cámara, a propósito de la aplicación de la presunción del artículo 23 de la LCT, que no se hizo el debido análisis de las pruebas referidas a la forma en que se establecían los pagos y se </w:t>
      </w:r>
      <w:r w:rsidRPr="000A2EB9">
        <w:rPr>
          <w:bCs/>
          <w:lang w:val="es-ES"/>
        </w:rPr>
        <w:lastRenderedPageBreak/>
        <w:t xml:space="preserve">fijaba el valor de los honorarios, que distaba de la remuneración que reciben los trabajadores en los términos de los artículos 21 y 22 de esa ley. Según la Dra. García Netto, cobraba especial interés para la solución del caso examinar las puntualizaciones que hizo la demandada en sus agravios ante la alzada, en cuanto a la intervención de la entidad que nuclea a los anestesiólogos y las condiciones en que sus integrantes deben actuar conforme su propio Código de Ética Profesional, añadiendo que el informe de la entidad respectiva rendido en la causa informa que el doctor Estala </w:t>
      </w:r>
      <w:r w:rsidR="00803C2B" w:rsidRPr="000A2EB9">
        <w:rPr>
          <w:bCs/>
          <w:lang w:val="es-ES"/>
        </w:rPr>
        <w:t>se encontraba</w:t>
      </w:r>
      <w:r w:rsidRPr="000A2EB9">
        <w:rPr>
          <w:bCs/>
          <w:lang w:val="es-ES"/>
        </w:rPr>
        <w:t xml:space="preserve"> afiliado a esa entidad, que </w:t>
      </w:r>
      <w:r w:rsidR="00803C2B" w:rsidRPr="000A2EB9">
        <w:rPr>
          <w:bCs/>
          <w:lang w:val="es-ES"/>
        </w:rPr>
        <w:t xml:space="preserve">ésta </w:t>
      </w:r>
      <w:r w:rsidRPr="000A2EB9">
        <w:rPr>
          <w:bCs/>
          <w:lang w:val="es-ES"/>
        </w:rPr>
        <w:t>actuaba como agente de facturación y cobro de sus honorarios y como agente de retención por diversos conceptos, como el pago del seguro por mala praxis contratado a través de la Mutual de Médicos Anestesiólogos; el descuento del aporte del subsidio de ineptitud f</w:t>
      </w:r>
      <w:r w:rsidR="00FC2130" w:rsidRPr="000A2EB9">
        <w:rPr>
          <w:bCs/>
          <w:lang w:val="es-ES"/>
        </w:rPr>
        <w:t>í</w:t>
      </w:r>
      <w:r w:rsidRPr="000A2EB9">
        <w:rPr>
          <w:bCs/>
          <w:lang w:val="es-ES"/>
        </w:rPr>
        <w:t>sica otorgado por la misma mutual; el descuento de la medicina prepaga contratada por el afiliado; la comisión cobrada por la entidad por sus servicios; la cuota social de la entidad; y las retenciones por ingresos brutos, impuesto a las ganancias e impuestos financieros; entre otros.</w:t>
      </w:r>
    </w:p>
    <w:p w14:paraId="496F4910" w14:textId="615C8120" w:rsidR="00A62F72" w:rsidRPr="000A2EB9" w:rsidRDefault="00A62F72" w:rsidP="00A62F72">
      <w:pPr>
        <w:spacing w:line="360" w:lineRule="auto"/>
        <w:jc w:val="both"/>
        <w:rPr>
          <w:bCs/>
          <w:lang w:val="es-ES"/>
        </w:rPr>
      </w:pPr>
      <w:r w:rsidRPr="000A2EB9">
        <w:rPr>
          <w:bCs/>
          <w:lang w:val="es-ES"/>
        </w:rPr>
        <w:tab/>
        <w:t>En ese plano indicó que, según la prueba rendido en la causa, el Dr. Estala emitía facturas a nombre de los pacientes, obras sociales o prepagas -en algunos casos, de la prepaga ofrecida por el Hospital Italiano- y luego la Asociación de Anestesiólogos gestionaba su cobro frente a las obras sociales y prepagas con las cuales tenía convenio, y frente al Hospital Italiano en caso de ausencia de convenio.</w:t>
      </w:r>
    </w:p>
    <w:p w14:paraId="7E00ED4C" w14:textId="34D2834A" w:rsidR="00A62F72" w:rsidRPr="000A2EB9" w:rsidRDefault="00A62F72" w:rsidP="00A62F72">
      <w:pPr>
        <w:spacing w:line="360" w:lineRule="auto"/>
        <w:jc w:val="both"/>
        <w:rPr>
          <w:bCs/>
          <w:lang w:val="es-ES"/>
        </w:rPr>
      </w:pPr>
      <w:r w:rsidRPr="000A2EB9">
        <w:rPr>
          <w:bCs/>
          <w:lang w:val="es-ES"/>
        </w:rPr>
        <w:tab/>
        <w:t>Añadió el Dictamen Fiscal que también se soslayó por la Cámara que, según la declaración de los testigos, los montos reca</w:t>
      </w:r>
      <w:r w:rsidR="00FC2130" w:rsidRPr="000A2EB9">
        <w:rPr>
          <w:bCs/>
          <w:lang w:val="es-ES"/>
        </w:rPr>
        <w:t>u</w:t>
      </w:r>
      <w:r w:rsidRPr="000A2EB9">
        <w:rPr>
          <w:bCs/>
          <w:lang w:val="es-ES"/>
        </w:rPr>
        <w:t>dados por el servicio de anestesiología iban a un "pozo" y luego se repartían según un sistema de puntaje, que tampoco era pautado o condicionado por la demandada, sino que fue establecido por los propios anestesiólogos.</w:t>
      </w:r>
    </w:p>
    <w:p w14:paraId="1EE5882E" w14:textId="5946746A" w:rsidR="00EF449A" w:rsidRPr="000A2EB9" w:rsidRDefault="00A62F72" w:rsidP="00A62F72">
      <w:pPr>
        <w:spacing w:line="360" w:lineRule="auto"/>
        <w:jc w:val="both"/>
        <w:rPr>
          <w:bCs/>
          <w:lang w:val="es-ES"/>
        </w:rPr>
      </w:pPr>
      <w:r w:rsidRPr="000A2EB9">
        <w:rPr>
          <w:bCs/>
          <w:lang w:val="es-ES"/>
        </w:rPr>
        <w:tab/>
        <w:t xml:space="preserve">Finalizó el Dictamen </w:t>
      </w:r>
      <w:r w:rsidR="00EF449A" w:rsidRPr="000A2EB9">
        <w:rPr>
          <w:bCs/>
          <w:lang w:val="es-ES"/>
        </w:rPr>
        <w:t xml:space="preserve">afirmando que, en </w:t>
      </w:r>
      <w:r w:rsidRPr="000A2EB9">
        <w:rPr>
          <w:bCs/>
          <w:lang w:val="es-ES"/>
        </w:rPr>
        <w:t>suma, las particularidades reseñadas se alejan de las caracter</w:t>
      </w:r>
      <w:r w:rsidR="00FC2130" w:rsidRPr="000A2EB9">
        <w:rPr>
          <w:bCs/>
          <w:lang w:val="es-ES"/>
        </w:rPr>
        <w:t>ísticas</w:t>
      </w:r>
      <w:r w:rsidRPr="000A2EB9">
        <w:rPr>
          <w:bCs/>
          <w:lang w:val="es-ES"/>
        </w:rPr>
        <w:t xml:space="preserve"> descriptas por el fallo en cuanto a la llamada "hipo suficiencia", ajen</w:t>
      </w:r>
      <w:r w:rsidR="00FC2130" w:rsidRPr="000A2EB9">
        <w:rPr>
          <w:bCs/>
          <w:lang w:val="es-ES"/>
        </w:rPr>
        <w:t>i</w:t>
      </w:r>
      <w:r w:rsidRPr="000A2EB9">
        <w:rPr>
          <w:bCs/>
          <w:lang w:val="es-ES"/>
        </w:rPr>
        <w:t>dad del servicio y carácter expropiado del trabajo humano</w:t>
      </w:r>
      <w:r w:rsidR="00EF449A" w:rsidRPr="000A2EB9">
        <w:rPr>
          <w:bCs/>
          <w:lang w:val="es-ES"/>
        </w:rPr>
        <w:t>, de manera que, e</w:t>
      </w:r>
      <w:r w:rsidRPr="000A2EB9">
        <w:rPr>
          <w:bCs/>
          <w:lang w:val="es-ES"/>
        </w:rPr>
        <w:t>n defin</w:t>
      </w:r>
      <w:r w:rsidR="00FC2130" w:rsidRPr="000A2EB9">
        <w:rPr>
          <w:bCs/>
          <w:lang w:val="es-ES"/>
        </w:rPr>
        <w:t>i</w:t>
      </w:r>
      <w:r w:rsidRPr="000A2EB9">
        <w:rPr>
          <w:bCs/>
          <w:lang w:val="es-ES"/>
        </w:rPr>
        <w:t>tiva, los jueces de la anterior instancia no han dado adecuado tratamiento a la controversia de acuerdo con las constancias del caso y la no</w:t>
      </w:r>
      <w:r w:rsidR="00EF449A" w:rsidRPr="000A2EB9">
        <w:rPr>
          <w:bCs/>
          <w:lang w:val="es-ES"/>
        </w:rPr>
        <w:t>rm</w:t>
      </w:r>
      <w:r w:rsidRPr="000A2EB9">
        <w:rPr>
          <w:bCs/>
          <w:lang w:val="es-ES"/>
        </w:rPr>
        <w:t xml:space="preserve">ativa aplicable. </w:t>
      </w:r>
    </w:p>
    <w:p w14:paraId="1CCBFB06" w14:textId="6A1BD668" w:rsidR="00EF449A" w:rsidRPr="000A2EB9" w:rsidRDefault="00EF449A" w:rsidP="00EF449A">
      <w:pPr>
        <w:spacing w:line="360" w:lineRule="auto"/>
        <w:ind w:firstLine="720"/>
        <w:jc w:val="both"/>
        <w:rPr>
          <w:bCs/>
          <w:lang w:val="es-ES"/>
        </w:rPr>
      </w:pPr>
      <w:r w:rsidRPr="000A2EB9">
        <w:rPr>
          <w:bCs/>
          <w:lang w:val="es-ES"/>
        </w:rPr>
        <w:t>Con lo hasta aquí reseñado basta para advertir l</w:t>
      </w:r>
      <w:r w:rsidR="00FC2130" w:rsidRPr="000A2EB9">
        <w:rPr>
          <w:bCs/>
          <w:lang w:val="es-ES"/>
        </w:rPr>
        <w:t>a</w:t>
      </w:r>
      <w:r w:rsidRPr="000A2EB9">
        <w:rPr>
          <w:bCs/>
          <w:lang w:val="es-ES"/>
        </w:rPr>
        <w:t xml:space="preserve"> circunstancia </w:t>
      </w:r>
      <w:r w:rsidR="00FC2130" w:rsidRPr="000A2EB9">
        <w:rPr>
          <w:bCs/>
          <w:lang w:val="es-ES"/>
        </w:rPr>
        <w:t xml:space="preserve">de </w:t>
      </w:r>
      <w:r w:rsidRPr="000A2EB9">
        <w:rPr>
          <w:bCs/>
          <w:lang w:val="es-ES"/>
        </w:rPr>
        <w:t>que la Corte Suprema, con el voto de la mayoría que h</w:t>
      </w:r>
      <w:r w:rsidR="00FC2130" w:rsidRPr="000A2EB9">
        <w:rPr>
          <w:bCs/>
          <w:lang w:val="es-ES"/>
        </w:rPr>
        <w:t>izo</w:t>
      </w:r>
      <w:r w:rsidRPr="000A2EB9">
        <w:rPr>
          <w:bCs/>
          <w:lang w:val="es-ES"/>
        </w:rPr>
        <w:t xml:space="preserve"> suyos los términos del sintetizado Dictamen Fiscal, no se limit</w:t>
      </w:r>
      <w:r w:rsidR="00FC2130" w:rsidRPr="000A2EB9">
        <w:rPr>
          <w:bCs/>
          <w:lang w:val="es-ES"/>
        </w:rPr>
        <w:t>ó</w:t>
      </w:r>
      <w:r w:rsidRPr="000A2EB9">
        <w:rPr>
          <w:bCs/>
          <w:lang w:val="es-ES"/>
        </w:rPr>
        <w:t xml:space="preserve"> a descalificar la sentencia de la Cámara sino que efectúa un detallado y profundo análisis de la prueba de la causa, entrando además en consideraciones que parecen dejar resuelta la improcedencia del reclamo, siendo esto último </w:t>
      </w:r>
      <w:r w:rsidR="00FC2130" w:rsidRPr="000A2EB9">
        <w:rPr>
          <w:bCs/>
          <w:lang w:val="es-ES"/>
        </w:rPr>
        <w:t>extraño a</w:t>
      </w:r>
      <w:r w:rsidRPr="000A2EB9">
        <w:rPr>
          <w:bCs/>
          <w:lang w:val="es-ES"/>
        </w:rPr>
        <w:t xml:space="preserve"> la competencia del Máximo Tribunal que, reitero lo antes expuesto, no está habilitado</w:t>
      </w:r>
      <w:r w:rsidR="00FC2130" w:rsidRPr="000A2EB9">
        <w:rPr>
          <w:bCs/>
          <w:lang w:val="es-ES"/>
        </w:rPr>
        <w:t xml:space="preserve"> como regla</w:t>
      </w:r>
      <w:r w:rsidRPr="000A2EB9">
        <w:rPr>
          <w:bCs/>
          <w:lang w:val="es-ES"/>
        </w:rPr>
        <w:t xml:space="preserve"> para valorar la prueba ni analizar los hechos.</w:t>
      </w:r>
    </w:p>
    <w:p w14:paraId="44FEFFD8" w14:textId="3BCADBB0" w:rsidR="00A62F72" w:rsidRPr="000A2EB9" w:rsidRDefault="00EF449A" w:rsidP="00EF449A">
      <w:pPr>
        <w:spacing w:line="360" w:lineRule="auto"/>
        <w:ind w:firstLine="720"/>
        <w:jc w:val="both"/>
        <w:rPr>
          <w:bCs/>
          <w:lang w:val="es-ES"/>
        </w:rPr>
      </w:pPr>
      <w:r w:rsidRPr="000A2EB9">
        <w:rPr>
          <w:bCs/>
          <w:lang w:val="es-ES"/>
        </w:rPr>
        <w:t>Más extraordinario aún</w:t>
      </w:r>
      <w:r w:rsidR="00FC2130" w:rsidRPr="000A2EB9">
        <w:rPr>
          <w:bCs/>
          <w:lang w:val="es-ES"/>
        </w:rPr>
        <w:t xml:space="preserve"> </w:t>
      </w:r>
      <w:r w:rsidRPr="000A2EB9">
        <w:rPr>
          <w:bCs/>
          <w:lang w:val="es-ES"/>
        </w:rPr>
        <w:t xml:space="preserve">es el señalamiento efectuado por la Procuradora Fiscal, y </w:t>
      </w:r>
      <w:r w:rsidR="00FC2130" w:rsidRPr="000A2EB9">
        <w:rPr>
          <w:bCs/>
          <w:lang w:val="es-ES"/>
        </w:rPr>
        <w:t>tomado</w:t>
      </w:r>
      <w:r w:rsidRPr="000A2EB9">
        <w:rPr>
          <w:bCs/>
          <w:lang w:val="es-ES"/>
        </w:rPr>
        <w:t xml:space="preserve"> por el voto de los jueces Highton y Maqueda, en el sentido de que ese adecuado tratamiento de la prueba </w:t>
      </w:r>
      <w:r w:rsidR="00A62F72" w:rsidRPr="000A2EB9">
        <w:rPr>
          <w:bCs/>
          <w:lang w:val="es-ES"/>
        </w:rPr>
        <w:t xml:space="preserve">debió </w:t>
      </w:r>
      <w:r w:rsidRPr="000A2EB9">
        <w:rPr>
          <w:bCs/>
          <w:lang w:val="es-ES"/>
        </w:rPr>
        <w:t>hacer</w:t>
      </w:r>
      <w:r w:rsidR="00FC2130" w:rsidRPr="000A2EB9">
        <w:rPr>
          <w:bCs/>
          <w:lang w:val="es-ES"/>
        </w:rPr>
        <w:t>se</w:t>
      </w:r>
      <w:r w:rsidRPr="000A2EB9">
        <w:rPr>
          <w:bCs/>
          <w:lang w:val="es-ES"/>
        </w:rPr>
        <w:t xml:space="preserve"> “</w:t>
      </w:r>
      <w:r w:rsidR="00A62F72" w:rsidRPr="000A2EB9">
        <w:rPr>
          <w:bCs/>
          <w:i/>
          <w:iCs/>
          <w:lang w:val="es-ES"/>
        </w:rPr>
        <w:t>con mayor estrictez en el sub lite, en atención a la trascendencia del resultado económico del fallo</w:t>
      </w:r>
      <w:r w:rsidRPr="000A2EB9">
        <w:rPr>
          <w:bCs/>
          <w:i/>
          <w:iCs/>
          <w:lang w:val="es-ES"/>
        </w:rPr>
        <w:t>…</w:t>
      </w:r>
      <w:r w:rsidRPr="000A2EB9">
        <w:rPr>
          <w:bCs/>
          <w:lang w:val="es-ES"/>
        </w:rPr>
        <w:t>”</w:t>
      </w:r>
      <w:r w:rsidR="00A62F72" w:rsidRPr="000A2EB9">
        <w:rPr>
          <w:bCs/>
          <w:lang w:val="es-ES"/>
        </w:rPr>
        <w:t>,</w:t>
      </w:r>
      <w:r w:rsidRPr="000A2EB9">
        <w:rPr>
          <w:bCs/>
          <w:lang w:val="es-ES"/>
        </w:rPr>
        <w:t xml:space="preserve"> consideración que parece ser una traducción de la denominada Teoría Económica del Derecho.</w:t>
      </w:r>
    </w:p>
    <w:p w14:paraId="039DBB9B" w14:textId="4E952398" w:rsidR="00A62F72" w:rsidRPr="000A2EB9" w:rsidRDefault="00EF449A" w:rsidP="002C7122">
      <w:pPr>
        <w:spacing w:line="360" w:lineRule="auto"/>
        <w:jc w:val="both"/>
        <w:rPr>
          <w:bCs/>
          <w:lang w:val="es-ES"/>
        </w:rPr>
      </w:pPr>
      <w:r w:rsidRPr="000A2EB9">
        <w:rPr>
          <w:bCs/>
          <w:lang w:val="es-ES"/>
        </w:rPr>
        <w:lastRenderedPageBreak/>
        <w:tab/>
        <w:t>Como adelant</w:t>
      </w:r>
      <w:r w:rsidR="00984320" w:rsidRPr="000A2EB9">
        <w:rPr>
          <w:bCs/>
          <w:lang w:val="es-ES"/>
        </w:rPr>
        <w:t>é</w:t>
      </w:r>
      <w:r w:rsidRPr="000A2EB9">
        <w:rPr>
          <w:bCs/>
          <w:lang w:val="es-ES"/>
        </w:rPr>
        <w:t xml:space="preserve">, el juez Lorenzetti compartió la solución de dejar sin efecto la sentencia de la Cámara pero lo hizo mediante un voto concurrente en el que incursionó, más aún que el Dictamen Fiscal tomado por los otros magistrados, en un análisis </w:t>
      </w:r>
      <w:r w:rsidR="009D5C61" w:rsidRPr="000A2EB9">
        <w:rPr>
          <w:bCs/>
          <w:lang w:val="es-ES"/>
        </w:rPr>
        <w:t xml:space="preserve">cuya pertinencia en el estrecho margen de una caso aceptado bajo la doctrina de la arbitrariedad luce </w:t>
      </w:r>
      <w:r w:rsidR="00FC2130" w:rsidRPr="000A2EB9">
        <w:rPr>
          <w:bCs/>
          <w:lang w:val="es-ES"/>
        </w:rPr>
        <w:t>cuanto menos inusual.</w:t>
      </w:r>
    </w:p>
    <w:p w14:paraId="6582D59B" w14:textId="77777777" w:rsidR="000A106A" w:rsidRPr="000A2EB9" w:rsidRDefault="009D5C61" w:rsidP="002C7122">
      <w:pPr>
        <w:spacing w:line="360" w:lineRule="auto"/>
        <w:jc w:val="both"/>
        <w:rPr>
          <w:bCs/>
          <w:lang w:val="es-ES"/>
        </w:rPr>
      </w:pPr>
      <w:r w:rsidRPr="000A2EB9">
        <w:rPr>
          <w:bCs/>
          <w:lang w:val="es-ES"/>
        </w:rPr>
        <w:tab/>
      </w:r>
      <w:r w:rsidR="001D0B7D" w:rsidRPr="000A2EB9">
        <w:rPr>
          <w:bCs/>
          <w:lang w:val="es-ES"/>
        </w:rPr>
        <w:t>El propio juez Lorenzetti admitió al inicio de su ponencia que lo atinente a la existencia o no de relación laboral entre las partes remite al examen de una materia de hecho, prueba y derecho común, regularmente ajena a la instancia extraordinaria, pero afirmó</w:t>
      </w:r>
      <w:r w:rsidR="000A106A" w:rsidRPr="000A2EB9">
        <w:rPr>
          <w:bCs/>
          <w:lang w:val="es-ES"/>
        </w:rPr>
        <w:t xml:space="preserve">, para </w:t>
      </w:r>
      <w:r w:rsidR="001D0B7D" w:rsidRPr="000A2EB9">
        <w:rPr>
          <w:bCs/>
          <w:lang w:val="es-ES"/>
        </w:rPr>
        <w:t>hacer excepción a ese principio</w:t>
      </w:r>
      <w:r w:rsidR="000A106A" w:rsidRPr="000A2EB9">
        <w:rPr>
          <w:bCs/>
          <w:lang w:val="es-ES"/>
        </w:rPr>
        <w:t xml:space="preserve">, que </w:t>
      </w:r>
      <w:r w:rsidR="001D0B7D" w:rsidRPr="000A2EB9">
        <w:rPr>
          <w:bCs/>
          <w:lang w:val="es-ES"/>
        </w:rPr>
        <w:t>el Tribunal a quo “</w:t>
      </w:r>
      <w:r w:rsidR="001D0B7D" w:rsidRPr="000A2EB9">
        <w:rPr>
          <w:bCs/>
          <w:i/>
          <w:iCs/>
          <w:lang w:val="es-ES"/>
        </w:rPr>
        <w:t>ha efectuado un análisis parcial de la prueba y no ha dado un tratamiento adecuado a la controversia de acuerdo con las constancias de la causa y la normativa aplicable, y la decisión se basa en afirmaciones dogmáticas que le dan un fundamento solo aparente</w:t>
      </w:r>
      <w:r w:rsidR="001D0B7D" w:rsidRPr="000A2EB9">
        <w:rPr>
          <w:bCs/>
          <w:lang w:val="es-ES"/>
        </w:rPr>
        <w:t xml:space="preserve">”. </w:t>
      </w:r>
    </w:p>
    <w:p w14:paraId="7CCECD9D" w14:textId="42AE2C4C" w:rsidR="009D5C61" w:rsidRPr="000A2EB9" w:rsidRDefault="000A106A" w:rsidP="002C7122">
      <w:pPr>
        <w:spacing w:line="360" w:lineRule="auto"/>
        <w:jc w:val="both"/>
        <w:rPr>
          <w:bCs/>
          <w:lang w:val="es-ES"/>
        </w:rPr>
      </w:pPr>
      <w:r w:rsidRPr="000A2EB9">
        <w:rPr>
          <w:bCs/>
          <w:lang w:val="es-ES"/>
        </w:rPr>
        <w:t xml:space="preserve"> </w:t>
      </w:r>
      <w:r w:rsidRPr="000A2EB9">
        <w:rPr>
          <w:bCs/>
          <w:lang w:val="es-ES"/>
        </w:rPr>
        <w:tab/>
      </w:r>
      <w:r w:rsidR="001D0B7D" w:rsidRPr="000A2EB9">
        <w:rPr>
          <w:bCs/>
          <w:lang w:val="es-ES"/>
        </w:rPr>
        <w:t xml:space="preserve">En tal camino, </w:t>
      </w:r>
      <w:r w:rsidRPr="000A2EB9">
        <w:rPr>
          <w:bCs/>
          <w:lang w:val="es-ES"/>
        </w:rPr>
        <w:t xml:space="preserve">y en la misma línea argumental de la mayoría, </w:t>
      </w:r>
      <w:r w:rsidR="001D0B7D" w:rsidRPr="000A2EB9">
        <w:rPr>
          <w:bCs/>
          <w:lang w:val="es-ES"/>
        </w:rPr>
        <w:t>el voto del juez Lorenzetti asever</w:t>
      </w:r>
      <w:r w:rsidR="00984320" w:rsidRPr="000A2EB9">
        <w:rPr>
          <w:bCs/>
          <w:lang w:val="es-ES"/>
        </w:rPr>
        <w:t>ó</w:t>
      </w:r>
      <w:r w:rsidR="001D0B7D" w:rsidRPr="000A2EB9">
        <w:rPr>
          <w:bCs/>
          <w:lang w:val="es-ES"/>
        </w:rPr>
        <w:t xml:space="preserve"> que el pronunciamiento apelado incurr</w:t>
      </w:r>
      <w:r w:rsidR="00984320" w:rsidRPr="000A2EB9">
        <w:rPr>
          <w:bCs/>
          <w:lang w:val="es-ES"/>
        </w:rPr>
        <w:t>ió</w:t>
      </w:r>
      <w:r w:rsidR="001D0B7D" w:rsidRPr="000A2EB9">
        <w:rPr>
          <w:bCs/>
          <w:lang w:val="es-ES"/>
        </w:rPr>
        <w:t xml:space="preserve"> en una equivocada valoración de la prueba</w:t>
      </w:r>
      <w:r w:rsidRPr="000A2EB9">
        <w:rPr>
          <w:bCs/>
          <w:lang w:val="es-ES"/>
        </w:rPr>
        <w:t>; pero añadió que, en su opinión, la Cámara</w:t>
      </w:r>
      <w:r w:rsidR="001D0B7D" w:rsidRPr="000A2EB9">
        <w:rPr>
          <w:bCs/>
          <w:lang w:val="es-ES"/>
        </w:rPr>
        <w:t xml:space="preserve"> </w:t>
      </w:r>
      <w:r w:rsidR="001D0B7D" w:rsidRPr="000A2EB9">
        <w:rPr>
          <w:bCs/>
          <w:i/>
          <w:iCs/>
          <w:lang w:val="es-ES"/>
        </w:rPr>
        <w:t>aplic</w:t>
      </w:r>
      <w:r w:rsidR="00984320" w:rsidRPr="000A2EB9">
        <w:rPr>
          <w:bCs/>
          <w:i/>
          <w:iCs/>
          <w:lang w:val="es-ES"/>
        </w:rPr>
        <w:t>ó</w:t>
      </w:r>
      <w:r w:rsidR="001D0B7D" w:rsidRPr="000A2EB9">
        <w:rPr>
          <w:bCs/>
          <w:i/>
          <w:iCs/>
          <w:lang w:val="es-ES"/>
        </w:rPr>
        <w:t xml:space="preserve"> la legislación laboral a supuestos de hecho para los que no ha sido prevista</w:t>
      </w:r>
      <w:r w:rsidR="00984320" w:rsidRPr="000A2EB9">
        <w:rPr>
          <w:bCs/>
          <w:lang w:val="es-ES"/>
        </w:rPr>
        <w:t>, omitiendo</w:t>
      </w:r>
      <w:r w:rsidR="001D0B7D" w:rsidRPr="000A2EB9">
        <w:rPr>
          <w:bCs/>
          <w:lang w:val="es-ES"/>
        </w:rPr>
        <w:t xml:space="preserve"> analizarl</w:t>
      </w:r>
      <w:r w:rsidR="00984320" w:rsidRPr="000A2EB9">
        <w:rPr>
          <w:bCs/>
          <w:lang w:val="es-ES"/>
        </w:rPr>
        <w:t>a</w:t>
      </w:r>
      <w:r w:rsidR="001D0B7D" w:rsidRPr="000A2EB9">
        <w:rPr>
          <w:bCs/>
          <w:lang w:val="es-ES"/>
        </w:rPr>
        <w:t xml:space="preserve"> a la luz de la normativa relativa a la locación de servicios regulada por el Código Civil</w:t>
      </w:r>
      <w:r w:rsidR="00984320" w:rsidRPr="000A2EB9">
        <w:rPr>
          <w:bCs/>
          <w:lang w:val="es-ES"/>
        </w:rPr>
        <w:t xml:space="preserve"> vigente a la época de los hechos juzgados</w:t>
      </w:r>
      <w:r w:rsidR="001D0B7D" w:rsidRPr="000A2EB9">
        <w:rPr>
          <w:bCs/>
          <w:lang w:val="es-ES"/>
        </w:rPr>
        <w:t>, causando consecuencias jurídicas, económicas y sociales que exceden el caso, y que los magistrados no pueden ignorar, ya que repercuten sobre todo el sistema de con</w:t>
      </w:r>
      <w:r w:rsidRPr="000A2EB9">
        <w:rPr>
          <w:bCs/>
          <w:lang w:val="es-ES"/>
        </w:rPr>
        <w:t>t</w:t>
      </w:r>
      <w:r w:rsidR="001D0B7D" w:rsidRPr="000A2EB9">
        <w:rPr>
          <w:bCs/>
          <w:lang w:val="es-ES"/>
        </w:rPr>
        <w:t>rataciones.</w:t>
      </w:r>
    </w:p>
    <w:p w14:paraId="4B60D974" w14:textId="77777777" w:rsidR="00984320" w:rsidRPr="000A2EB9" w:rsidRDefault="000A106A" w:rsidP="002C7122">
      <w:pPr>
        <w:spacing w:line="360" w:lineRule="auto"/>
        <w:jc w:val="both"/>
        <w:rPr>
          <w:bCs/>
          <w:lang w:val="es-ES"/>
        </w:rPr>
      </w:pPr>
      <w:r w:rsidRPr="000A2EB9">
        <w:rPr>
          <w:bCs/>
          <w:lang w:val="es-ES"/>
        </w:rPr>
        <w:tab/>
        <w:t xml:space="preserve">Sostuvo </w:t>
      </w:r>
      <w:r w:rsidR="004D679A" w:rsidRPr="000A2EB9">
        <w:rPr>
          <w:bCs/>
          <w:lang w:val="es-ES"/>
        </w:rPr>
        <w:t xml:space="preserve">el juez Lorenzetti, asimismo, </w:t>
      </w:r>
      <w:r w:rsidRPr="000A2EB9">
        <w:rPr>
          <w:bCs/>
          <w:lang w:val="es-ES"/>
        </w:rPr>
        <w:t xml:space="preserve">que la carga horaria, las guardias pasivas y activas cumplidas por el doctor Estala y la dirección y conducción del establecimiento hospitalario por parte de la demandada resulta insuficiente a los efectos de afirmar que el causante estaba integrado a la organización empresaria demandada bajo una relación de dependencia y, echando mano de la </w:t>
      </w:r>
      <w:r w:rsidR="00984320" w:rsidRPr="000A2EB9">
        <w:rPr>
          <w:bCs/>
          <w:lang w:val="es-ES"/>
        </w:rPr>
        <w:t>“</w:t>
      </w:r>
      <w:r w:rsidRPr="000A2EB9">
        <w:rPr>
          <w:bCs/>
          <w:lang w:val="es-ES"/>
        </w:rPr>
        <w:t>teoría de los actos propi</w:t>
      </w:r>
      <w:r w:rsidR="004D679A" w:rsidRPr="000A2EB9">
        <w:rPr>
          <w:bCs/>
          <w:lang w:val="es-ES"/>
        </w:rPr>
        <w:t>os</w:t>
      </w:r>
      <w:r w:rsidR="00984320" w:rsidRPr="000A2EB9">
        <w:rPr>
          <w:bCs/>
          <w:lang w:val="es-ES"/>
        </w:rPr>
        <w:t>”</w:t>
      </w:r>
      <w:r w:rsidRPr="000A2EB9">
        <w:rPr>
          <w:bCs/>
          <w:lang w:val="es-ES"/>
        </w:rPr>
        <w:t>, sostuvo que no es posible desconocer el comportamiento asumido por el causante quien, como decisión propia y voluntaria, pudo evaluar la conveniencia de desarrollar su tarea en el centro asistencial demandado del modo efectuado, durante más de 32 años, sin manifestar conflicto alguno atinente al encuadramiento jurídico de la relación que los unió.</w:t>
      </w:r>
      <w:r w:rsidR="00EB764C" w:rsidRPr="000A2EB9">
        <w:rPr>
          <w:bCs/>
          <w:lang w:val="es-ES"/>
        </w:rPr>
        <w:t xml:space="preserve"> </w:t>
      </w:r>
    </w:p>
    <w:p w14:paraId="3E984859" w14:textId="7F8A99E8" w:rsidR="001D0B7D" w:rsidRPr="000A2EB9" w:rsidRDefault="00984320" w:rsidP="002C7122">
      <w:pPr>
        <w:spacing w:line="360" w:lineRule="auto"/>
        <w:jc w:val="both"/>
        <w:rPr>
          <w:bCs/>
          <w:lang w:val="es-ES"/>
        </w:rPr>
      </w:pPr>
      <w:r w:rsidRPr="000A2EB9">
        <w:rPr>
          <w:bCs/>
          <w:lang w:val="es-ES"/>
        </w:rPr>
        <w:t xml:space="preserve"> </w:t>
      </w:r>
      <w:r w:rsidRPr="000A2EB9">
        <w:rPr>
          <w:bCs/>
          <w:lang w:val="es-ES"/>
        </w:rPr>
        <w:tab/>
      </w:r>
      <w:r w:rsidR="00EB764C" w:rsidRPr="000A2EB9">
        <w:rPr>
          <w:bCs/>
          <w:lang w:val="es-ES"/>
        </w:rPr>
        <w:t xml:space="preserve">Sumó a estas consideraciones su opinión en el sentido de que el reclamo efectuado </w:t>
      </w:r>
      <w:r w:rsidRPr="000A2EB9">
        <w:rPr>
          <w:bCs/>
          <w:lang w:val="es-ES"/>
        </w:rPr>
        <w:t>fue contrario a</w:t>
      </w:r>
      <w:r w:rsidR="00EB764C" w:rsidRPr="000A2EB9">
        <w:rPr>
          <w:bCs/>
          <w:lang w:val="es-ES"/>
        </w:rPr>
        <w:t xml:space="preserve"> la buena fe ya que la prestación que desarrolló el doctor Estala tuvo el mismo carácter durante todo el tiempo que duró la relación, emitió facturas a través de la</w:t>
      </w:r>
      <w:r w:rsidRPr="000A2EB9">
        <w:rPr>
          <w:bCs/>
          <w:lang w:val="es-ES"/>
        </w:rPr>
        <w:t xml:space="preserve"> Asociación de Anestesiólogos </w:t>
      </w:r>
      <w:r w:rsidR="00EB764C" w:rsidRPr="000A2EB9">
        <w:rPr>
          <w:bCs/>
          <w:lang w:val="es-ES"/>
        </w:rPr>
        <w:t>y nunca hizo reclamo alguno al respecto, manifestando sólo su discrepancia al momento del distracto (</w:t>
      </w:r>
      <w:r w:rsidR="00EB764C" w:rsidRPr="000A2EB9">
        <w:rPr>
          <w:rStyle w:val="Refdenotaalpie"/>
          <w:bCs/>
          <w:lang w:val="es-ES"/>
        </w:rPr>
        <w:footnoteReference w:id="50"/>
      </w:r>
      <w:r w:rsidR="00EB764C" w:rsidRPr="000A2EB9">
        <w:rPr>
          <w:bCs/>
          <w:lang w:val="es-ES"/>
        </w:rPr>
        <w:t>), conducta que contrar</w:t>
      </w:r>
      <w:r w:rsidRPr="000A2EB9">
        <w:rPr>
          <w:bCs/>
          <w:lang w:val="es-ES"/>
        </w:rPr>
        <w:t>ió</w:t>
      </w:r>
      <w:r w:rsidR="00EB764C" w:rsidRPr="000A2EB9">
        <w:rPr>
          <w:bCs/>
          <w:lang w:val="es-ES"/>
        </w:rPr>
        <w:t xml:space="preserve"> sus propios actos y la regla de la buena fe, al quebrar, sin causa fundada, la razonable expectativa de la institución que lo contrató durante tantos años sobre la base de una relación jurídica de servicios autónomos.</w:t>
      </w:r>
    </w:p>
    <w:p w14:paraId="541B5A42" w14:textId="73ED0A76" w:rsidR="000A106A" w:rsidRPr="000A2EB9" w:rsidRDefault="004D679A" w:rsidP="002C7122">
      <w:pPr>
        <w:spacing w:line="360" w:lineRule="auto"/>
        <w:jc w:val="both"/>
        <w:rPr>
          <w:bCs/>
          <w:lang w:val="es-ES"/>
        </w:rPr>
      </w:pPr>
      <w:r w:rsidRPr="000A2EB9">
        <w:rPr>
          <w:bCs/>
          <w:lang w:val="es-ES"/>
        </w:rPr>
        <w:lastRenderedPageBreak/>
        <w:tab/>
        <w:t>En el contrato laboral, apuntó dicho magistrado, se trabaja por cuenta ajena, porque el beneficio que genera la actividad va al empresario y no al trabajador, siguiéndose de ello la ajenidad de riesgos, que, al contrario de lo dispuesto en el Código Civil, en la locación son asumidos por el patrono; que el trabajador percibe una retribución, con independencia de que el empleador gane o pierda en su actividad, y concluyó diciendo que ello no ocurre en el caso.</w:t>
      </w:r>
    </w:p>
    <w:p w14:paraId="33889D01" w14:textId="2AAEE751" w:rsidR="004D679A" w:rsidRPr="000A2EB9" w:rsidRDefault="004D679A" w:rsidP="004D679A">
      <w:pPr>
        <w:spacing w:line="360" w:lineRule="auto"/>
        <w:ind w:firstLine="720"/>
        <w:jc w:val="both"/>
        <w:rPr>
          <w:bCs/>
          <w:lang w:val="es-ES"/>
        </w:rPr>
      </w:pPr>
      <w:r w:rsidRPr="000A2EB9">
        <w:rPr>
          <w:bCs/>
          <w:lang w:val="es-ES"/>
        </w:rPr>
        <w:t>Seguidamente el juez Lorenzetti hizo consideraciones sobre el papel que juega el control en los distintos contratos, afirmando que la sentencia de la Cámara calificó como jurídicamente subordinada una relación que no es dependiente en ese sentido, confundiéndola con el control de la prestación.</w:t>
      </w:r>
      <w:r w:rsidR="00984320" w:rsidRPr="000A2EB9">
        <w:rPr>
          <w:bCs/>
          <w:lang w:val="es-ES"/>
        </w:rPr>
        <w:t xml:space="preserve"> Sostuvo</w:t>
      </w:r>
      <w:r w:rsidRPr="000A2EB9">
        <w:rPr>
          <w:bCs/>
          <w:lang w:val="es-ES"/>
        </w:rPr>
        <w:t>, al respecto, que el control existe en una serie de contratos de colaboración, porque, quien no puede hacer algo por sí mismo, lo delega en otro y lo controla. También recordó que en los vínculos de colaboración autónomos hay una intromisión o injerencia del titular del interés sobre quien realiza la colaboración y está destinada a precisar el objeto del encargo, pero aclarando que esa injerencia es distinta de la dependencia laboral, ya que esta última no se limita al objeto del encargo sino que alcanza al elemento personal, al trabajador, que está jurídicamente subordinado, de manera tal que el dependiente está sometido al poder de dirección del empleador, se pone a disposición de sus requerimientos, a una dirección ajena, y en ese sentido es heterónomo y por ende el principal puede diseñar el modo de prestación con referencia a los horarios, lugar, medios técnicos a utilizar, ordenar la demanda en el sentido de fijar su ritmo.</w:t>
      </w:r>
    </w:p>
    <w:p w14:paraId="34CFC66F" w14:textId="3F43C6A5" w:rsidR="000A106A" w:rsidRPr="000A2EB9" w:rsidRDefault="004D679A" w:rsidP="004D679A">
      <w:pPr>
        <w:spacing w:line="360" w:lineRule="auto"/>
        <w:jc w:val="both"/>
        <w:rPr>
          <w:bCs/>
          <w:lang w:val="es-ES"/>
        </w:rPr>
      </w:pPr>
      <w:r w:rsidRPr="000A2EB9">
        <w:rPr>
          <w:bCs/>
          <w:lang w:val="es-ES"/>
        </w:rPr>
        <w:tab/>
        <w:t>Enseguida unió esas conceptualizaciones con el caso concreto de los profesionales de la salud en los que, a juicio de</w:t>
      </w:r>
      <w:r w:rsidR="00984320" w:rsidRPr="000A2EB9">
        <w:rPr>
          <w:bCs/>
          <w:lang w:val="es-ES"/>
        </w:rPr>
        <w:t xml:space="preserve"> este magistrado</w:t>
      </w:r>
      <w:r w:rsidRPr="000A2EB9">
        <w:rPr>
          <w:bCs/>
          <w:lang w:val="es-ES"/>
        </w:rPr>
        <w:t>, la coordinación de horarios es necesaria, por ejemplo, para hacer una intervención quirúrgica a la que concurren un médico cirujano y un anestesiólogo, pero ello no es por sí mismo el ejercicio del poder de subordinación.</w:t>
      </w:r>
    </w:p>
    <w:p w14:paraId="37358004" w14:textId="26287665" w:rsidR="00EB764C" w:rsidRPr="000A2EB9" w:rsidRDefault="004D679A" w:rsidP="00984320">
      <w:pPr>
        <w:spacing w:line="360" w:lineRule="auto"/>
        <w:jc w:val="both"/>
        <w:rPr>
          <w:bCs/>
          <w:lang w:val="es-ES"/>
        </w:rPr>
      </w:pPr>
      <w:r w:rsidRPr="000A2EB9">
        <w:rPr>
          <w:bCs/>
          <w:lang w:val="es-ES"/>
        </w:rPr>
        <w:t xml:space="preserve"> </w:t>
      </w:r>
      <w:r w:rsidRPr="000A2EB9">
        <w:rPr>
          <w:bCs/>
          <w:lang w:val="es-ES"/>
        </w:rPr>
        <w:tab/>
        <w:t>En procura de restarle valor al factor control, el juez Lorenzetti agregó que aunque es propio del poder de dirección del empleador el ejercicio de facultades disciplinarias, el trabajador autónomo, si bien no está sujeto a un régimen disciplinario en el sentido propio de la relación de trabajo, igualmente puede estar sometido a un mínimo contralor que debe tener todo establecimiento que preste servicios a terceros. De ello concluyó que</w:t>
      </w:r>
      <w:r w:rsidR="00EB764C" w:rsidRPr="000A2EB9">
        <w:rPr>
          <w:bCs/>
          <w:lang w:val="es-ES"/>
        </w:rPr>
        <w:t xml:space="preserve"> </w:t>
      </w:r>
      <w:r w:rsidRPr="000A2EB9">
        <w:rPr>
          <w:bCs/>
          <w:lang w:val="es-ES"/>
        </w:rPr>
        <w:t>no resulta</w:t>
      </w:r>
      <w:r w:rsidR="00EB764C" w:rsidRPr="000A2EB9">
        <w:rPr>
          <w:bCs/>
          <w:lang w:val="es-ES"/>
        </w:rPr>
        <w:t>n</w:t>
      </w:r>
      <w:r w:rsidRPr="000A2EB9">
        <w:rPr>
          <w:bCs/>
          <w:lang w:val="es-ES"/>
        </w:rPr>
        <w:t xml:space="preserve"> decisiv</w:t>
      </w:r>
      <w:r w:rsidR="00EB764C" w:rsidRPr="000A2EB9">
        <w:rPr>
          <w:bCs/>
          <w:lang w:val="es-ES"/>
        </w:rPr>
        <w:t>as</w:t>
      </w:r>
      <w:r w:rsidRPr="000A2EB9">
        <w:rPr>
          <w:bCs/>
          <w:lang w:val="es-ES"/>
        </w:rPr>
        <w:t xml:space="preserve"> para determinar un genuino ejercicio del poder de dirección patronal las restricciones impuestas a la actividad profesional del médico como producto de la fijación de horarios para la atención de pacientes, del sometimiento a un cierto contralor y de la exigencia de cumplir con diversas r</w:t>
      </w:r>
      <w:r w:rsidR="00EB764C" w:rsidRPr="000A2EB9">
        <w:rPr>
          <w:bCs/>
          <w:lang w:val="es-ES"/>
        </w:rPr>
        <w:t>eg</w:t>
      </w:r>
      <w:r w:rsidRPr="000A2EB9">
        <w:rPr>
          <w:bCs/>
          <w:lang w:val="es-ES"/>
        </w:rPr>
        <w:t>las propias del ejercicio de la profesión pues, por las circunstancias del caso, dichas medidas pudieron haber sido consecuencia necesaria de la organización y funcionamiento del sistema médico-asistencial en que el reclamante se había incorporado sin que por ello precisamente se altere la naturaleza autónoma de los servicios comprometidos</w:t>
      </w:r>
      <w:r w:rsidR="00EB764C" w:rsidRPr="000A2EB9">
        <w:rPr>
          <w:bCs/>
          <w:lang w:val="es-ES"/>
        </w:rPr>
        <w:t>.</w:t>
      </w:r>
    </w:p>
    <w:p w14:paraId="30CBAE34" w14:textId="057D3D25" w:rsidR="00A53E2D" w:rsidRPr="0002479C" w:rsidRDefault="00EB764C" w:rsidP="002C7122">
      <w:pPr>
        <w:spacing w:line="360" w:lineRule="auto"/>
        <w:jc w:val="both"/>
        <w:rPr>
          <w:lang w:val="es-ES"/>
        </w:rPr>
      </w:pPr>
      <w:r w:rsidRPr="000A2EB9">
        <w:rPr>
          <w:bCs/>
          <w:lang w:val="es-ES"/>
        </w:rPr>
        <w:lastRenderedPageBreak/>
        <w:tab/>
        <w:t>El 14/07/2015, es decir pocos meses después de dar la sentencia del caso “Cairone”, el Máximo Tribunal argentino volvió a ocuparse de</w:t>
      </w:r>
      <w:r w:rsidR="00984320" w:rsidRPr="000A2EB9">
        <w:rPr>
          <w:bCs/>
          <w:lang w:val="es-ES"/>
        </w:rPr>
        <w:t xml:space="preserve"> </w:t>
      </w:r>
      <w:r w:rsidRPr="000A2EB9">
        <w:rPr>
          <w:bCs/>
          <w:lang w:val="es-ES"/>
        </w:rPr>
        <w:t>l</w:t>
      </w:r>
      <w:r w:rsidR="00984320" w:rsidRPr="000A2EB9">
        <w:rPr>
          <w:bCs/>
          <w:lang w:val="es-ES"/>
        </w:rPr>
        <w:t xml:space="preserve">a reclamación </w:t>
      </w:r>
      <w:r w:rsidRPr="000A2EB9">
        <w:rPr>
          <w:bCs/>
          <w:lang w:val="es-ES"/>
        </w:rPr>
        <w:t>de un profesional médic</w:t>
      </w:r>
      <w:r w:rsidR="00A53E2D" w:rsidRPr="000A2EB9">
        <w:rPr>
          <w:bCs/>
          <w:lang w:val="es-ES"/>
        </w:rPr>
        <w:t>o anestesiólogo</w:t>
      </w:r>
      <w:r w:rsidR="00984320" w:rsidRPr="000A2EB9">
        <w:rPr>
          <w:bCs/>
          <w:lang w:val="es-ES"/>
        </w:rPr>
        <w:t xml:space="preserve"> </w:t>
      </w:r>
      <w:r w:rsidR="00C8267F" w:rsidRPr="000A2EB9">
        <w:rPr>
          <w:bCs/>
          <w:lang w:val="es-ES"/>
        </w:rPr>
        <w:t xml:space="preserve">en la causa </w:t>
      </w:r>
      <w:r w:rsidR="002C7122" w:rsidRPr="000A2EB9">
        <w:rPr>
          <w:b/>
          <w:lang w:val="es-ES"/>
        </w:rPr>
        <w:t>“De Aranoa, Fernando c/ Federación de Círculos Católicos”</w:t>
      </w:r>
      <w:r w:rsidR="00C8267F" w:rsidRPr="000A2EB9">
        <w:rPr>
          <w:bCs/>
          <w:lang w:val="es-ES"/>
        </w:rPr>
        <w:t>.</w:t>
      </w:r>
      <w:r w:rsidR="00A53E2D" w:rsidRPr="0002479C">
        <w:rPr>
          <w:lang w:val="es-ES"/>
        </w:rPr>
        <w:t xml:space="preserve"> </w:t>
      </w:r>
    </w:p>
    <w:p w14:paraId="1B0A1F4A" w14:textId="77777777" w:rsidR="00197B57" w:rsidRPr="000A2EB9" w:rsidRDefault="00A53E2D" w:rsidP="00A53E2D">
      <w:pPr>
        <w:spacing w:line="360" w:lineRule="auto"/>
        <w:ind w:firstLine="720"/>
        <w:jc w:val="both"/>
        <w:rPr>
          <w:bCs/>
          <w:lang w:val="es-ES"/>
        </w:rPr>
      </w:pPr>
      <w:r w:rsidRPr="0002479C">
        <w:rPr>
          <w:lang w:val="es-ES"/>
        </w:rPr>
        <w:t xml:space="preserve">La Sala II de la CNAT, </w:t>
      </w:r>
      <w:r w:rsidR="00984320" w:rsidRPr="0002479C">
        <w:rPr>
          <w:lang w:val="es-ES"/>
        </w:rPr>
        <w:t xml:space="preserve">al </w:t>
      </w:r>
      <w:r w:rsidR="00984320" w:rsidRPr="000A2EB9">
        <w:rPr>
          <w:bCs/>
          <w:lang w:val="es-ES"/>
        </w:rPr>
        <w:t>revocar</w:t>
      </w:r>
      <w:r w:rsidRPr="000A2EB9">
        <w:rPr>
          <w:bCs/>
          <w:lang w:val="es-ES"/>
        </w:rPr>
        <w:t xml:space="preserve"> la sentencia de primera instancia que rechazara la demanda, admitió la pretension al entender acreditado el vínculo dependiente</w:t>
      </w:r>
      <w:r w:rsidRPr="0002479C">
        <w:rPr>
          <w:lang w:val="es-ES"/>
        </w:rPr>
        <w:t xml:space="preserve"> del accionante, quien </w:t>
      </w:r>
      <w:r w:rsidR="00984320" w:rsidRPr="0002479C">
        <w:rPr>
          <w:lang w:val="es-ES"/>
        </w:rPr>
        <w:t>había laborado</w:t>
      </w:r>
      <w:r w:rsidRPr="0002479C">
        <w:rPr>
          <w:lang w:val="es-ES"/>
        </w:rPr>
        <w:t xml:space="preserve"> desde </w:t>
      </w:r>
      <w:r w:rsidRPr="000A2EB9">
        <w:rPr>
          <w:bCs/>
          <w:lang w:val="es-ES"/>
        </w:rPr>
        <w:t xml:space="preserve">el 1995 como médico especialista en anestesiología y desde mediados de 2000 hasta el cese, ocurrido en 2008, como coordinador del servicio en el establecimiento de la demandada. Para ello, la Cámara aplicó la presunción del art. 23 LCT y afirmó que la demandada no logró demostrar que el trabajo prestado por el Dr. De Aranoa haya tenido las notas de la autonomía y que, al contrario, se acreditó que cumplió funciones subordinadas. </w:t>
      </w:r>
    </w:p>
    <w:p w14:paraId="05D6B5FE" w14:textId="427DA1C0" w:rsidR="00A53E2D" w:rsidRPr="000A2EB9" w:rsidRDefault="00A53E2D" w:rsidP="00A53E2D">
      <w:pPr>
        <w:spacing w:line="360" w:lineRule="auto"/>
        <w:ind w:firstLine="720"/>
        <w:jc w:val="both"/>
        <w:rPr>
          <w:bCs/>
          <w:lang w:val="es-ES"/>
        </w:rPr>
      </w:pPr>
      <w:r w:rsidRPr="000A2EB9">
        <w:rPr>
          <w:bCs/>
          <w:lang w:val="es-ES"/>
        </w:rPr>
        <w:t xml:space="preserve">La Cámara, en su decisión, se hizo cargo del argumento de la demandada dirigido a señalar el papel de la Asociación de Anestesiología, a quien trajo como tercero al pleito, y sostuvo que quedó desvirtuado puesto que dicha entidad negó al contestar demanda que haya tenido otro papel que el de mandataria para la facturación y cobro de los honorarios del accionante como socio de </w:t>
      </w:r>
      <w:r w:rsidR="00197B57" w:rsidRPr="000A2EB9">
        <w:rPr>
          <w:bCs/>
          <w:lang w:val="es-ES"/>
        </w:rPr>
        <w:t>esa entidad</w:t>
      </w:r>
      <w:r w:rsidRPr="000A2EB9">
        <w:rPr>
          <w:bCs/>
          <w:lang w:val="es-ES"/>
        </w:rPr>
        <w:t>, así como también negó terminantemente haber jugado rol alguno en la negociación de los honorarios.</w:t>
      </w:r>
    </w:p>
    <w:p w14:paraId="79E71783" w14:textId="4C4A8576" w:rsidR="00A53E2D" w:rsidRPr="000A2EB9" w:rsidRDefault="00A53E2D" w:rsidP="00A53E2D">
      <w:pPr>
        <w:spacing w:line="360" w:lineRule="auto"/>
        <w:ind w:firstLine="720"/>
        <w:jc w:val="both"/>
        <w:rPr>
          <w:bCs/>
          <w:lang w:val="es-ES"/>
        </w:rPr>
      </w:pPr>
      <w:r w:rsidRPr="000A2EB9">
        <w:rPr>
          <w:bCs/>
          <w:lang w:val="es-ES"/>
        </w:rPr>
        <w:t xml:space="preserve">Pese a estas particularidades que evidencian los fundamentos del Tribunal a quo, la Corte Federal </w:t>
      </w:r>
      <w:r w:rsidR="00AF68D5" w:rsidRPr="000A2EB9">
        <w:rPr>
          <w:bCs/>
          <w:lang w:val="es-ES"/>
        </w:rPr>
        <w:t>se limitó a dejar sin efecto tal sentencia con una remisión genérica con el siguiente párrafo: “</w:t>
      </w:r>
      <w:r w:rsidR="00AF68D5" w:rsidRPr="000A2EB9">
        <w:rPr>
          <w:bCs/>
          <w:i/>
          <w:iCs/>
          <w:lang w:val="es-ES"/>
        </w:rPr>
        <w:t>Que los agravios de la apelante encuentran adecuada respuesta en las consideraciones y conclusiones expresadas en la causa…Cairone, Mirta Griselda y otros c/ Sociedad Italiana de Beneficencia en Buenos Aires - Hospital Italiano s</w:t>
      </w:r>
      <w:r w:rsidR="00197B57" w:rsidRPr="000A2EB9">
        <w:rPr>
          <w:bCs/>
          <w:i/>
          <w:iCs/>
          <w:lang w:val="es-ES"/>
        </w:rPr>
        <w:t>/</w:t>
      </w:r>
      <w:r w:rsidR="00AF68D5" w:rsidRPr="000A2EB9">
        <w:rPr>
          <w:bCs/>
          <w:i/>
          <w:iCs/>
          <w:lang w:val="es-ES"/>
        </w:rPr>
        <w:t xml:space="preserve"> despido, sentencia del 19 de febrero de 2015, a las que corresponde remitir -en lo pertinente- en razón de brevedad</w:t>
      </w:r>
      <w:r w:rsidR="00197B57" w:rsidRPr="000A2EB9">
        <w:rPr>
          <w:bCs/>
          <w:lang w:val="es-ES"/>
        </w:rPr>
        <w:t>”</w:t>
      </w:r>
      <w:r w:rsidR="00AF68D5" w:rsidRPr="000A2EB9">
        <w:rPr>
          <w:bCs/>
          <w:lang w:val="es-ES"/>
        </w:rPr>
        <w:t>.</w:t>
      </w:r>
    </w:p>
    <w:p w14:paraId="46CAE059" w14:textId="77777777" w:rsidR="00197B57" w:rsidRPr="000A2EB9" w:rsidRDefault="003B30B0" w:rsidP="00AF68D5">
      <w:pPr>
        <w:spacing w:line="360" w:lineRule="auto"/>
        <w:jc w:val="both"/>
        <w:rPr>
          <w:bCs/>
          <w:lang w:val="es-ES"/>
        </w:rPr>
      </w:pPr>
      <w:r w:rsidRPr="000A2EB9">
        <w:rPr>
          <w:bCs/>
          <w:lang w:val="es-ES"/>
        </w:rPr>
        <w:tab/>
        <w:t xml:space="preserve">En el caso </w:t>
      </w:r>
      <w:r w:rsidR="00AF68D5" w:rsidRPr="000A2EB9">
        <w:rPr>
          <w:b/>
          <w:lang w:val="es-ES"/>
        </w:rPr>
        <w:t>“Pastore, Adrián c/ Sociedad Italiana de Beneficencia-Hospital Italiano”</w:t>
      </w:r>
      <w:r w:rsidR="00AF68D5" w:rsidRPr="000A2EB9">
        <w:rPr>
          <w:bCs/>
          <w:lang w:val="es-ES"/>
        </w:rPr>
        <w:t>,</w:t>
      </w:r>
      <w:r w:rsidRPr="000A2EB9">
        <w:rPr>
          <w:bCs/>
          <w:lang w:val="es-ES"/>
        </w:rPr>
        <w:t xml:space="preserve"> sentenciado por primera vez el 19/02/2015, la Corte Suprema volvió a dejar sin efecto una decisión de la Cámara que había </w:t>
      </w:r>
      <w:r w:rsidR="00E56718" w:rsidRPr="000A2EB9">
        <w:rPr>
          <w:bCs/>
          <w:lang w:val="es-ES"/>
        </w:rPr>
        <w:t xml:space="preserve">considerado dependiente el vínculo entre </w:t>
      </w:r>
      <w:r w:rsidR="00197B57" w:rsidRPr="000A2EB9">
        <w:rPr>
          <w:bCs/>
          <w:lang w:val="es-ES"/>
        </w:rPr>
        <w:t xml:space="preserve">un </w:t>
      </w:r>
      <w:r w:rsidR="00E56718" w:rsidRPr="000A2EB9">
        <w:rPr>
          <w:bCs/>
          <w:lang w:val="es-ES"/>
        </w:rPr>
        <w:t>médico anestesiólogo</w:t>
      </w:r>
      <w:r w:rsidR="00197B57" w:rsidRPr="000A2EB9">
        <w:rPr>
          <w:bCs/>
          <w:lang w:val="es-ES"/>
        </w:rPr>
        <w:t>, en este caso “anestesiólogo</w:t>
      </w:r>
      <w:r w:rsidR="00E56718" w:rsidRPr="000A2EB9">
        <w:rPr>
          <w:bCs/>
          <w:lang w:val="es-ES"/>
        </w:rPr>
        <w:t xml:space="preserve"> pediátrico</w:t>
      </w:r>
      <w:r w:rsidR="00197B57" w:rsidRPr="000A2EB9">
        <w:rPr>
          <w:bCs/>
          <w:lang w:val="es-ES"/>
        </w:rPr>
        <w:t>”</w:t>
      </w:r>
      <w:r w:rsidR="00E56718" w:rsidRPr="000A2EB9">
        <w:rPr>
          <w:bCs/>
          <w:lang w:val="es-ES"/>
        </w:rPr>
        <w:t xml:space="preserve"> y </w:t>
      </w:r>
      <w:r w:rsidR="00197B57" w:rsidRPr="000A2EB9">
        <w:rPr>
          <w:bCs/>
          <w:lang w:val="es-ES"/>
        </w:rPr>
        <w:t xml:space="preserve">una </w:t>
      </w:r>
      <w:r w:rsidR="00E56718" w:rsidRPr="000A2EB9">
        <w:rPr>
          <w:bCs/>
          <w:lang w:val="es-ES"/>
        </w:rPr>
        <w:t xml:space="preserve">entidad </w:t>
      </w:r>
      <w:r w:rsidR="00197B57" w:rsidRPr="000A2EB9">
        <w:rPr>
          <w:bCs/>
          <w:lang w:val="es-ES"/>
        </w:rPr>
        <w:t xml:space="preserve">como la </w:t>
      </w:r>
      <w:r w:rsidR="00E56718" w:rsidRPr="000A2EB9">
        <w:rPr>
          <w:bCs/>
          <w:lang w:val="es-ES"/>
        </w:rPr>
        <w:t>demandada</w:t>
      </w:r>
      <w:r w:rsidR="00197B57" w:rsidRPr="000A2EB9">
        <w:rPr>
          <w:bCs/>
          <w:lang w:val="es-ES"/>
        </w:rPr>
        <w:t>, prestadora del servicio de salud</w:t>
      </w:r>
      <w:r w:rsidR="00E56718" w:rsidRPr="000A2EB9">
        <w:rPr>
          <w:bCs/>
          <w:lang w:val="es-ES"/>
        </w:rPr>
        <w:t xml:space="preserve">. </w:t>
      </w:r>
    </w:p>
    <w:p w14:paraId="3AE3B30A" w14:textId="037BE23C" w:rsidR="003B30B0" w:rsidRPr="000A2EB9" w:rsidRDefault="00197B57" w:rsidP="00AF68D5">
      <w:pPr>
        <w:spacing w:line="360" w:lineRule="auto"/>
        <w:jc w:val="both"/>
        <w:rPr>
          <w:bCs/>
          <w:lang w:val="es-ES"/>
        </w:rPr>
      </w:pPr>
      <w:r w:rsidRPr="000A2EB9">
        <w:rPr>
          <w:bCs/>
          <w:lang w:val="es-ES"/>
        </w:rPr>
        <w:t xml:space="preserve"> </w:t>
      </w:r>
      <w:r w:rsidRPr="000A2EB9">
        <w:rPr>
          <w:bCs/>
          <w:lang w:val="es-ES"/>
        </w:rPr>
        <w:tab/>
      </w:r>
      <w:r w:rsidR="00E56718" w:rsidRPr="000A2EB9">
        <w:rPr>
          <w:bCs/>
          <w:lang w:val="es-ES"/>
        </w:rPr>
        <w:t>En efecto, la Sala VI de la CNAT entendió que las labores realizadas entre 1981 y 2006 para el hospital tuvieron por marco un contrato de trabajo</w:t>
      </w:r>
      <w:r w:rsidRPr="000A2EB9">
        <w:rPr>
          <w:bCs/>
          <w:lang w:val="es-ES"/>
        </w:rPr>
        <w:t xml:space="preserve"> y e</w:t>
      </w:r>
      <w:r w:rsidR="00E56718" w:rsidRPr="000A2EB9">
        <w:rPr>
          <w:bCs/>
          <w:lang w:val="es-ES"/>
        </w:rPr>
        <w:t>l Alto Tribunal repitió la fórmula usada en “De Aranoa”, es decir que dejó sin efecto lo resuelto por la Cámara afirmando, genéricamente, que “</w:t>
      </w:r>
      <w:r w:rsidR="00E56718" w:rsidRPr="000A2EB9">
        <w:rPr>
          <w:bCs/>
          <w:i/>
          <w:iCs/>
          <w:lang w:val="es-ES"/>
        </w:rPr>
        <w:t>…los agravios de la apelante encuentran adecuada respuesta en las consideraciones y conclusiones expresadas en la causa…"Cairone, Mirta Griselda y otros c/ Sociedad Italiana de Beneficencia en Buenos Aires Hospital Italiano s/ despido", sentencia de la fecha, a las que corresponde remitir -en lo pertinente-, en razón de brevedad</w:t>
      </w:r>
      <w:r w:rsidRPr="000A2EB9">
        <w:rPr>
          <w:bCs/>
          <w:lang w:val="es-ES"/>
        </w:rPr>
        <w:t>”</w:t>
      </w:r>
      <w:r w:rsidR="00E56718" w:rsidRPr="000A2EB9">
        <w:rPr>
          <w:bCs/>
          <w:lang w:val="es-ES"/>
        </w:rPr>
        <w:t>.</w:t>
      </w:r>
    </w:p>
    <w:p w14:paraId="5FE027CF" w14:textId="51AE169B" w:rsidR="00E56718" w:rsidRPr="000A2EB9" w:rsidRDefault="00E56718" w:rsidP="002C0796">
      <w:pPr>
        <w:spacing w:line="360" w:lineRule="auto"/>
        <w:jc w:val="both"/>
        <w:rPr>
          <w:bCs/>
          <w:lang w:val="es-ES"/>
        </w:rPr>
      </w:pPr>
      <w:r w:rsidRPr="000A2EB9">
        <w:rPr>
          <w:bCs/>
          <w:lang w:val="es-ES"/>
        </w:rPr>
        <w:tab/>
      </w:r>
      <w:r w:rsidR="00197B57" w:rsidRPr="000A2EB9">
        <w:rPr>
          <w:bCs/>
          <w:lang w:val="es-ES"/>
        </w:rPr>
        <w:t>Sin embargo, e</w:t>
      </w:r>
      <w:r w:rsidRPr="000A2EB9">
        <w:rPr>
          <w:bCs/>
          <w:lang w:val="es-ES"/>
        </w:rPr>
        <w:t>n esta causa ocurrió algo peculiar pues, vuelta a la Cámara para que, como lo ordenara la Corte, “</w:t>
      </w:r>
      <w:r w:rsidRPr="000A2EB9">
        <w:rPr>
          <w:bCs/>
          <w:i/>
          <w:iCs/>
          <w:lang w:val="es-ES"/>
        </w:rPr>
        <w:t>…por quien corresponda, se dicte un nuevo fallo”</w:t>
      </w:r>
      <w:r w:rsidRPr="000A2EB9">
        <w:rPr>
          <w:bCs/>
          <w:lang w:val="es-ES"/>
        </w:rPr>
        <w:t>, intervino la Sala IX de ese Cuerpo</w:t>
      </w:r>
      <w:r w:rsidR="00197B57" w:rsidRPr="000A2EB9">
        <w:rPr>
          <w:bCs/>
          <w:lang w:val="es-ES"/>
        </w:rPr>
        <w:t xml:space="preserve"> y e</w:t>
      </w:r>
      <w:r w:rsidRPr="000A2EB9">
        <w:rPr>
          <w:bCs/>
          <w:lang w:val="es-ES"/>
        </w:rPr>
        <w:t xml:space="preserve">ste Tribunal </w:t>
      </w:r>
      <w:r w:rsidR="002C0796" w:rsidRPr="000A2EB9">
        <w:rPr>
          <w:bCs/>
          <w:lang w:val="es-ES"/>
        </w:rPr>
        <w:t>recordó que la propia Corte Su</w:t>
      </w:r>
      <w:r w:rsidR="002C0796" w:rsidRPr="000A2EB9">
        <w:rPr>
          <w:bCs/>
          <w:lang w:val="es-ES"/>
        </w:rPr>
        <w:lastRenderedPageBreak/>
        <w:t>prema tie</w:t>
      </w:r>
      <w:r w:rsidRPr="000A2EB9">
        <w:rPr>
          <w:bCs/>
          <w:lang w:val="es-ES"/>
        </w:rPr>
        <w:t xml:space="preserve">ne dicho </w:t>
      </w:r>
      <w:r w:rsidR="002C0796" w:rsidRPr="000A2EB9">
        <w:rPr>
          <w:bCs/>
          <w:lang w:val="es-ES"/>
        </w:rPr>
        <w:t>q</w:t>
      </w:r>
      <w:r w:rsidRPr="000A2EB9">
        <w:rPr>
          <w:bCs/>
          <w:lang w:val="es-ES"/>
        </w:rPr>
        <w:t>ue la invalidación por ella de una sentencia</w:t>
      </w:r>
      <w:r w:rsidR="00197B57" w:rsidRPr="000A2EB9">
        <w:rPr>
          <w:bCs/>
          <w:lang w:val="es-ES"/>
        </w:rPr>
        <w:t>,</w:t>
      </w:r>
      <w:r w:rsidRPr="000A2EB9">
        <w:rPr>
          <w:bCs/>
          <w:lang w:val="es-ES"/>
        </w:rPr>
        <w:t xml:space="preserve"> y la consiguiente orden de expedir una nueva, no significa resolver ninguna cuestión de derecho común</w:t>
      </w:r>
      <w:r w:rsidR="002C0796" w:rsidRPr="000A2EB9">
        <w:rPr>
          <w:bCs/>
          <w:lang w:val="es-ES"/>
        </w:rPr>
        <w:t xml:space="preserve"> y que </w:t>
      </w:r>
      <w:r w:rsidRPr="000A2EB9">
        <w:rPr>
          <w:bCs/>
          <w:lang w:val="es-ES"/>
        </w:rPr>
        <w:t>los extremos de la litis deberán nuevamente ser decididos por sus jueces naturales</w:t>
      </w:r>
      <w:r w:rsidR="002C0796" w:rsidRPr="000A2EB9">
        <w:rPr>
          <w:bCs/>
          <w:lang w:val="es-ES"/>
        </w:rPr>
        <w:t>.</w:t>
      </w:r>
    </w:p>
    <w:p w14:paraId="5D33204C" w14:textId="69EAEA4B" w:rsidR="00AF68D5" w:rsidRPr="000A2EB9" w:rsidRDefault="002C0796" w:rsidP="002C0796">
      <w:pPr>
        <w:spacing w:line="360" w:lineRule="auto"/>
        <w:jc w:val="both"/>
        <w:rPr>
          <w:bCs/>
          <w:lang w:val="es-ES"/>
        </w:rPr>
      </w:pPr>
      <w:r w:rsidRPr="000A2EB9">
        <w:rPr>
          <w:bCs/>
          <w:lang w:val="es-ES"/>
        </w:rPr>
        <w:tab/>
        <w:t xml:space="preserve">Con esa premisa, este Tribunal interpretó en una muy fundada opinión, que la intervención del Máximo Tribunal se circunscribió </w:t>
      </w:r>
      <w:r w:rsidR="00E56718" w:rsidRPr="000A2EB9">
        <w:rPr>
          <w:bCs/>
          <w:lang w:val="es-ES"/>
        </w:rPr>
        <w:t xml:space="preserve">a descalificar </w:t>
      </w:r>
      <w:r w:rsidRPr="000A2EB9">
        <w:rPr>
          <w:bCs/>
          <w:lang w:val="es-ES"/>
        </w:rPr>
        <w:t>e</w:t>
      </w:r>
      <w:r w:rsidR="00E56718" w:rsidRPr="000A2EB9">
        <w:rPr>
          <w:bCs/>
          <w:lang w:val="es-ES"/>
        </w:rPr>
        <w:t>l</w:t>
      </w:r>
      <w:r w:rsidRPr="000A2EB9">
        <w:rPr>
          <w:bCs/>
          <w:lang w:val="es-ES"/>
        </w:rPr>
        <w:t xml:space="preserve"> </w:t>
      </w:r>
      <w:r w:rsidR="00E56718" w:rsidRPr="000A2EB9">
        <w:rPr>
          <w:bCs/>
          <w:lang w:val="es-ES"/>
        </w:rPr>
        <w:t>pronunciamiento</w:t>
      </w:r>
      <w:r w:rsidRPr="000A2EB9">
        <w:rPr>
          <w:bCs/>
          <w:lang w:val="es-ES"/>
        </w:rPr>
        <w:t xml:space="preserve"> de la Sala que interviniera originalmente y que, al devolver la causa al Tribunal a quo para que, por otros jueces distintos a los que actuaron en la anterior oportunidad, se dicte una nueva sentencia. Seguidamente, se abocó </w:t>
      </w:r>
      <w:r w:rsidR="00E56718" w:rsidRPr="000A2EB9">
        <w:rPr>
          <w:bCs/>
          <w:lang w:val="es-ES"/>
        </w:rPr>
        <w:t xml:space="preserve">al conocimiento de las cuestiones planteadas y objeto de recurso, con el </w:t>
      </w:r>
      <w:r w:rsidR="00197B57" w:rsidRPr="000A2EB9">
        <w:rPr>
          <w:bCs/>
          <w:lang w:val="es-ES"/>
        </w:rPr>
        <w:t xml:space="preserve">lineamiento expresado </w:t>
      </w:r>
      <w:r w:rsidR="00E56718" w:rsidRPr="000A2EB9">
        <w:rPr>
          <w:bCs/>
          <w:lang w:val="es-ES"/>
        </w:rPr>
        <w:t>por el Máximo Tribunal</w:t>
      </w:r>
      <w:r w:rsidRPr="000A2EB9">
        <w:rPr>
          <w:bCs/>
          <w:lang w:val="es-ES"/>
        </w:rPr>
        <w:t xml:space="preserve"> y volvió a considerar, como lo había hecho la Sala VI, que la relación entre las partes se enmarcó en un contrato de trabajo.</w:t>
      </w:r>
    </w:p>
    <w:p w14:paraId="0D6AFAF9" w14:textId="4DC69016" w:rsidR="00AF68D5" w:rsidRPr="000A2EB9" w:rsidRDefault="002C0796" w:rsidP="00AF68D5">
      <w:pPr>
        <w:spacing w:line="360" w:lineRule="auto"/>
        <w:jc w:val="both"/>
        <w:rPr>
          <w:bCs/>
          <w:lang w:val="es-ES"/>
        </w:rPr>
      </w:pPr>
      <w:r w:rsidRPr="000A2EB9">
        <w:rPr>
          <w:bCs/>
          <w:lang w:val="es-ES"/>
        </w:rPr>
        <w:tab/>
        <w:t xml:space="preserve">Pues bien, el 16/04/2019 el Alto Tribunal volvió a intervenir, ante un nuevo recurso extraordinario deducido por la demandada, y resulta sumamente interesante la nueva decisión de aquel Tribunal, por lo </w:t>
      </w:r>
      <w:r w:rsidR="00197B57" w:rsidRPr="000A2EB9">
        <w:rPr>
          <w:bCs/>
          <w:lang w:val="es-ES"/>
        </w:rPr>
        <w:t xml:space="preserve">llamativo </w:t>
      </w:r>
      <w:r w:rsidRPr="000A2EB9">
        <w:rPr>
          <w:bCs/>
          <w:lang w:val="es-ES"/>
        </w:rPr>
        <w:t>de sus términos en los planos procesal y constitucional</w:t>
      </w:r>
      <w:r w:rsidR="00E75563" w:rsidRPr="000A2EB9">
        <w:rPr>
          <w:bCs/>
          <w:lang w:val="es-ES"/>
        </w:rPr>
        <w:t>.</w:t>
      </w:r>
    </w:p>
    <w:p w14:paraId="380C67A9" w14:textId="40F65590" w:rsidR="004578DD" w:rsidRPr="000A2EB9" w:rsidRDefault="00E75563" w:rsidP="004578DD">
      <w:pPr>
        <w:spacing w:line="360" w:lineRule="auto"/>
        <w:jc w:val="both"/>
        <w:rPr>
          <w:bCs/>
          <w:lang w:val="es-ES"/>
        </w:rPr>
      </w:pPr>
      <w:r w:rsidRPr="000A2EB9">
        <w:rPr>
          <w:bCs/>
          <w:lang w:val="es-ES"/>
        </w:rPr>
        <w:tab/>
        <w:t xml:space="preserve">En esta segunda intervención de la Corte Federal en el caso </w:t>
      </w:r>
      <w:r w:rsidRPr="000A2EB9">
        <w:rPr>
          <w:b/>
          <w:lang w:val="es-ES"/>
        </w:rPr>
        <w:t>“Pastore”</w:t>
      </w:r>
      <w:r w:rsidRPr="000A2EB9">
        <w:rPr>
          <w:bCs/>
          <w:lang w:val="es-ES"/>
        </w:rPr>
        <w:t xml:space="preserve"> se sostuvo </w:t>
      </w:r>
      <w:r w:rsidR="004578DD" w:rsidRPr="000A2EB9">
        <w:rPr>
          <w:bCs/>
          <w:lang w:val="es-ES"/>
        </w:rPr>
        <w:t xml:space="preserve">por el voto de los jueces Rosenkrantz, Highton, Maqueda y Lorenzetti, </w:t>
      </w:r>
      <w:r w:rsidRPr="000A2EB9">
        <w:rPr>
          <w:bCs/>
          <w:lang w:val="es-ES"/>
        </w:rPr>
        <w:t xml:space="preserve">que </w:t>
      </w:r>
      <w:r w:rsidR="004578DD" w:rsidRPr="000A2EB9">
        <w:rPr>
          <w:bCs/>
          <w:lang w:val="es-ES"/>
        </w:rPr>
        <w:t>“</w:t>
      </w:r>
      <w:r w:rsidR="004578DD" w:rsidRPr="000A2EB9">
        <w:rPr>
          <w:bCs/>
          <w:i/>
          <w:iCs/>
          <w:lang w:val="es-ES"/>
        </w:rPr>
        <w:t>la interpretación de las sentencias de la Corte Suprema en las mismas causas en que ellas han sido dictadas constituye cuestión federal suficiente para ser examinada en la instancia extraordinaria cuando, como ocurre en el caso, la decisión impugnada consagra un inequívoco apartamiento de lo dispuesto por el Tribunal y desconoce lo esencial de aquella decisión</w:t>
      </w:r>
      <w:r w:rsidR="004578DD" w:rsidRPr="000A2EB9">
        <w:rPr>
          <w:bCs/>
          <w:lang w:val="es-ES"/>
        </w:rPr>
        <w:t xml:space="preserve">” y, en ese sentido, </w:t>
      </w:r>
      <w:r w:rsidR="00197B57" w:rsidRPr="000A2EB9">
        <w:rPr>
          <w:bCs/>
          <w:lang w:val="es-ES"/>
        </w:rPr>
        <w:t>afirmó</w:t>
      </w:r>
      <w:r w:rsidR="004578DD" w:rsidRPr="000A2EB9">
        <w:rPr>
          <w:bCs/>
          <w:lang w:val="es-ES"/>
        </w:rPr>
        <w:t xml:space="preserve"> que la Cámara en su segunda intervención incurrió en un apartamiento ostensible, ya que “</w:t>
      </w:r>
      <w:r w:rsidR="004578DD" w:rsidRPr="000A2EB9">
        <w:rPr>
          <w:bCs/>
          <w:i/>
          <w:iCs/>
          <w:lang w:val="es-ES"/>
        </w:rPr>
        <w:t>mediante una inconsistente atribución de futilidad, …desconoció la relevancia que esta Corte había asignado a determinados extremos —comunes a los del caso "Cairone"— para esclarecer la índole de la vinculación que existió entre las partes</w:t>
      </w:r>
      <w:r w:rsidR="004578DD" w:rsidRPr="000A2EB9">
        <w:rPr>
          <w:bCs/>
          <w:lang w:val="es-ES"/>
        </w:rPr>
        <w:t xml:space="preserve">”. </w:t>
      </w:r>
    </w:p>
    <w:p w14:paraId="4CBCBCD7" w14:textId="14518625" w:rsidR="004578DD" w:rsidRPr="000A2EB9" w:rsidRDefault="004578DD" w:rsidP="004578DD">
      <w:pPr>
        <w:spacing w:line="360" w:lineRule="auto"/>
        <w:jc w:val="both"/>
        <w:rPr>
          <w:bCs/>
          <w:lang w:val="es-ES"/>
        </w:rPr>
      </w:pPr>
      <w:r w:rsidRPr="000A2EB9">
        <w:rPr>
          <w:bCs/>
          <w:lang w:val="es-ES"/>
        </w:rPr>
        <w:t xml:space="preserve"> </w:t>
      </w:r>
      <w:r w:rsidRPr="000A2EB9">
        <w:rPr>
          <w:bCs/>
          <w:lang w:val="es-ES"/>
        </w:rPr>
        <w:tab/>
      </w:r>
      <w:r w:rsidR="00197B57" w:rsidRPr="000A2EB9">
        <w:rPr>
          <w:bCs/>
          <w:lang w:val="es-ES"/>
        </w:rPr>
        <w:t>Expres</w:t>
      </w:r>
      <w:r w:rsidRPr="000A2EB9">
        <w:rPr>
          <w:bCs/>
          <w:lang w:val="es-ES"/>
        </w:rPr>
        <w:t xml:space="preserve">ó el Máximo Tribunal argentino que, cuando en </w:t>
      </w:r>
      <w:r w:rsidR="00197B57" w:rsidRPr="000A2EB9">
        <w:rPr>
          <w:bCs/>
          <w:lang w:val="es-ES"/>
        </w:rPr>
        <w:t>su primigenia intervención</w:t>
      </w:r>
      <w:r w:rsidRPr="000A2EB9">
        <w:rPr>
          <w:bCs/>
          <w:lang w:val="es-ES"/>
        </w:rPr>
        <w:t xml:space="preserve"> remitió al análisis efectuado en “Cairone”,  dio por reproducidas las razones que conducían a poner especial consideración en la intervención o mediación constatada, entre los médicos anestesiólogos y la institución demandada, de la Asociación de Anestesiólogos como agente de facturación, retención y cobro de honorarios, servicios por los cuales cobraba una comisión, cuestión que había sido insuficientemente ponderada por los jueces de la Cámara.</w:t>
      </w:r>
    </w:p>
    <w:p w14:paraId="15BDE6C6" w14:textId="42FFBB92" w:rsidR="004578DD" w:rsidRPr="000A2EB9" w:rsidRDefault="004578DD" w:rsidP="004578DD">
      <w:pPr>
        <w:spacing w:line="360" w:lineRule="auto"/>
        <w:ind w:firstLine="720"/>
        <w:jc w:val="both"/>
        <w:rPr>
          <w:bCs/>
          <w:lang w:val="es-ES"/>
        </w:rPr>
      </w:pPr>
      <w:r w:rsidRPr="000A2EB9">
        <w:rPr>
          <w:bCs/>
          <w:lang w:val="es-ES"/>
        </w:rPr>
        <w:t>Seguidamente, la Corte Federal le reproch</w:t>
      </w:r>
      <w:r w:rsidR="00197B57" w:rsidRPr="000A2EB9">
        <w:rPr>
          <w:bCs/>
          <w:lang w:val="es-ES"/>
        </w:rPr>
        <w:t>ó</w:t>
      </w:r>
      <w:r w:rsidRPr="000A2EB9">
        <w:rPr>
          <w:bCs/>
          <w:lang w:val="es-ES"/>
        </w:rPr>
        <w:t xml:space="preserve"> a la Sala IX haberle restado toda importancia tanto a esa especial circunstancia así como al desempeño del actor para otros centros de salud, lo que revela</w:t>
      </w:r>
      <w:r w:rsidR="00197B57" w:rsidRPr="000A2EB9">
        <w:rPr>
          <w:bCs/>
          <w:lang w:val="es-ES"/>
        </w:rPr>
        <w:t>ra</w:t>
      </w:r>
      <w:r w:rsidRPr="000A2EB9">
        <w:rPr>
          <w:bCs/>
          <w:lang w:val="es-ES"/>
        </w:rPr>
        <w:t xml:space="preserve"> una apreciación sesgada del material probatorio que resultaba idóneo para demostrar que no se hallaba configurada en el caso la nota de "dependencia económica", característica de las relaciones de índole laboral. </w:t>
      </w:r>
    </w:p>
    <w:p w14:paraId="232F69FA" w14:textId="77777777" w:rsidR="00197B57" w:rsidRPr="000A2EB9" w:rsidRDefault="00F346A3" w:rsidP="004578DD">
      <w:pPr>
        <w:spacing w:line="360" w:lineRule="auto"/>
        <w:ind w:firstLine="720"/>
        <w:jc w:val="both"/>
        <w:rPr>
          <w:bCs/>
          <w:lang w:val="es-ES"/>
        </w:rPr>
      </w:pPr>
      <w:r w:rsidRPr="000A2EB9">
        <w:rPr>
          <w:bCs/>
          <w:lang w:val="es-ES"/>
        </w:rPr>
        <w:t xml:space="preserve">Con lo hasta aquí reseñado resulta </w:t>
      </w:r>
      <w:r w:rsidR="00197B57" w:rsidRPr="000A2EB9">
        <w:rPr>
          <w:bCs/>
          <w:lang w:val="es-ES"/>
        </w:rPr>
        <w:t xml:space="preserve">cuanto menos </w:t>
      </w:r>
      <w:r w:rsidRPr="000A2EB9">
        <w:rPr>
          <w:bCs/>
          <w:lang w:val="es-ES"/>
        </w:rPr>
        <w:t xml:space="preserve">llamativo que la Corte Suprema le otorgue tanta relevancia a un precedente en el que, más allá de consideraciones sobre los alcances del contrato de locación de servicios y su diferenciación con el </w:t>
      </w:r>
      <w:r w:rsidRPr="000A2EB9">
        <w:rPr>
          <w:bCs/>
          <w:lang w:val="es-ES"/>
        </w:rPr>
        <w:lastRenderedPageBreak/>
        <w:t>de trabajo, en definitiva sólo descartó una sentencia de la Cámara por creerla arbitraria, es decir incorrectamente construida como acto jurisdiccional</w:t>
      </w:r>
      <w:r w:rsidR="00197B57" w:rsidRPr="000A2EB9">
        <w:rPr>
          <w:bCs/>
          <w:lang w:val="es-ES"/>
        </w:rPr>
        <w:t xml:space="preserve"> por no haber valorado adecuadamente la prueba producida ni las normas de derecho común aplicables</w:t>
      </w:r>
      <w:r w:rsidRPr="000A2EB9">
        <w:rPr>
          <w:bCs/>
          <w:lang w:val="es-ES"/>
        </w:rPr>
        <w:t xml:space="preserve">, a punto tal que dispuso que se dictase una nueva, lo que implica, como regla, que el Tribunal a quo, con otros magistrados, dicte un nuevo pronunciamiento sin incurrir en los vicios adjetivos que llevaron a la descalificación del anterior. </w:t>
      </w:r>
    </w:p>
    <w:p w14:paraId="335F4601" w14:textId="273398BA" w:rsidR="00F346A3" w:rsidRPr="000A2EB9" w:rsidRDefault="00F346A3" w:rsidP="004578DD">
      <w:pPr>
        <w:spacing w:line="360" w:lineRule="auto"/>
        <w:ind w:firstLine="720"/>
        <w:jc w:val="both"/>
        <w:rPr>
          <w:bCs/>
          <w:lang w:val="es-ES"/>
        </w:rPr>
      </w:pPr>
      <w:r w:rsidRPr="000A2EB9">
        <w:rPr>
          <w:bCs/>
          <w:lang w:val="es-ES"/>
        </w:rPr>
        <w:t xml:space="preserve">Por otro lado, más </w:t>
      </w:r>
      <w:r w:rsidR="00197B57" w:rsidRPr="000A2EB9">
        <w:rPr>
          <w:bCs/>
          <w:lang w:val="es-ES"/>
        </w:rPr>
        <w:t xml:space="preserve">extraordinario </w:t>
      </w:r>
      <w:r w:rsidRPr="000A2EB9">
        <w:rPr>
          <w:bCs/>
          <w:lang w:val="es-ES"/>
        </w:rPr>
        <w:t>aún resulta que el Máximo Tribunal le otorg</w:t>
      </w:r>
      <w:r w:rsidR="00197B57" w:rsidRPr="000A2EB9">
        <w:rPr>
          <w:bCs/>
          <w:lang w:val="es-ES"/>
        </w:rPr>
        <w:t>ara</w:t>
      </w:r>
      <w:r w:rsidRPr="000A2EB9">
        <w:rPr>
          <w:bCs/>
          <w:lang w:val="es-ES"/>
        </w:rPr>
        <w:t xml:space="preserve"> un valor cuasi casatorio a la conceptualización hecha en “Cairone” de sendos dichos tipos contractuales, dado que ambos están regulados por el derecho común y, por ende, en la medida que no hay en juego derecho federal, ello constituiría una definición ajena a su competencia.</w:t>
      </w:r>
    </w:p>
    <w:p w14:paraId="64620358" w14:textId="13AF6D76" w:rsidR="00F346A3" w:rsidRPr="000A2EB9" w:rsidRDefault="00F346A3" w:rsidP="00F346A3">
      <w:pPr>
        <w:spacing w:line="360" w:lineRule="auto"/>
        <w:ind w:firstLine="720"/>
        <w:jc w:val="both"/>
        <w:rPr>
          <w:bCs/>
          <w:lang w:val="es-ES"/>
        </w:rPr>
      </w:pPr>
      <w:r w:rsidRPr="000A2EB9">
        <w:rPr>
          <w:bCs/>
          <w:lang w:val="es-ES"/>
        </w:rPr>
        <w:t>Y tan particular ha sido la situación generada en “Pastore” que, de todos modos, el voto conjunto y unánime de los ministros, a</w:t>
      </w:r>
      <w:r w:rsidR="004578DD" w:rsidRPr="000A2EB9">
        <w:rPr>
          <w:bCs/>
          <w:lang w:val="es-ES"/>
        </w:rPr>
        <w:t xml:space="preserve">ñadió que </w:t>
      </w:r>
      <w:r w:rsidRPr="000A2EB9">
        <w:rPr>
          <w:bCs/>
          <w:lang w:val="es-ES"/>
        </w:rPr>
        <w:t xml:space="preserve">también consideró </w:t>
      </w:r>
      <w:r w:rsidR="004578DD" w:rsidRPr="000A2EB9">
        <w:rPr>
          <w:bCs/>
          <w:lang w:val="es-ES"/>
        </w:rPr>
        <w:t xml:space="preserve">infundado el fallo </w:t>
      </w:r>
      <w:r w:rsidRPr="000A2EB9">
        <w:rPr>
          <w:bCs/>
          <w:lang w:val="es-ES"/>
        </w:rPr>
        <w:t xml:space="preserve">de la Sala IX </w:t>
      </w:r>
      <w:r w:rsidR="004578DD" w:rsidRPr="000A2EB9">
        <w:rPr>
          <w:bCs/>
          <w:lang w:val="es-ES"/>
        </w:rPr>
        <w:t xml:space="preserve">en cuanto, a los fines de tener por acreditada la nota de "subordinación jurídica", ha conferido carácter dirimente al ejercicio del poder disciplinario, sin reparar en </w:t>
      </w:r>
      <w:r w:rsidR="00197B57" w:rsidRPr="000A2EB9">
        <w:rPr>
          <w:bCs/>
          <w:lang w:val="es-ES"/>
        </w:rPr>
        <w:t xml:space="preserve">la circunstancia de </w:t>
      </w:r>
      <w:r w:rsidR="004578DD" w:rsidRPr="000A2EB9">
        <w:rPr>
          <w:bCs/>
          <w:lang w:val="es-ES"/>
        </w:rPr>
        <w:t>que en "Cairone" el Tribunal desestimó expresamente la trascendencia de ese extremo sobre la base de que "</w:t>
      </w:r>
      <w:r w:rsidRPr="000A2EB9">
        <w:rPr>
          <w:bCs/>
          <w:lang w:val="es-ES"/>
        </w:rPr>
        <w:t>…</w:t>
      </w:r>
      <w:r w:rsidR="004578DD" w:rsidRPr="000A2EB9">
        <w:rPr>
          <w:bCs/>
          <w:i/>
          <w:iCs/>
          <w:lang w:val="es-ES"/>
        </w:rPr>
        <w:t>el trabajador autónomo no está sujeto a un régimen disciplinario en el sentido propio de la relación de trabajo, aunque ello no descarta tampoco el sometimiento a un mínimo contralor que debe tener todo establecimiento que preste servicios a terceros</w:t>
      </w:r>
      <w:r w:rsidR="004578DD" w:rsidRPr="000A2EB9">
        <w:rPr>
          <w:bCs/>
          <w:lang w:val="es-ES"/>
        </w:rPr>
        <w:t>"</w:t>
      </w:r>
      <w:r w:rsidRPr="000A2EB9">
        <w:rPr>
          <w:bCs/>
          <w:lang w:val="es-ES"/>
        </w:rPr>
        <w:t>, es decir que nuevamente el Alto Tribunal incursionó en la interpretación del derecho común y de los hechos de una causa judicial.</w:t>
      </w:r>
      <w:r w:rsidR="004578DD" w:rsidRPr="000A2EB9">
        <w:rPr>
          <w:bCs/>
          <w:lang w:val="es-ES"/>
        </w:rPr>
        <w:t xml:space="preserve"> </w:t>
      </w:r>
    </w:p>
    <w:p w14:paraId="1B4A0215" w14:textId="08EBDC97" w:rsidR="004578DD" w:rsidRPr="000A2EB9" w:rsidRDefault="00F346A3" w:rsidP="00F346A3">
      <w:pPr>
        <w:spacing w:line="360" w:lineRule="auto"/>
        <w:ind w:firstLine="720"/>
        <w:jc w:val="both"/>
        <w:rPr>
          <w:bCs/>
          <w:lang w:val="es-ES"/>
        </w:rPr>
      </w:pPr>
      <w:r w:rsidRPr="000A2EB9">
        <w:rPr>
          <w:bCs/>
          <w:lang w:val="es-ES"/>
        </w:rPr>
        <w:t xml:space="preserve">Y, más aún, el peculiar pronunciamiento que estoy describiendo se sumerge en la consideración del sentido del derecho disciplinario, al afirmar que </w:t>
      </w:r>
      <w:r w:rsidR="004578DD" w:rsidRPr="000A2EB9">
        <w:rPr>
          <w:bCs/>
          <w:lang w:val="es-ES"/>
        </w:rPr>
        <w:t>las actuaciones sumariales labradas al actor</w:t>
      </w:r>
      <w:r w:rsidRPr="000A2EB9">
        <w:rPr>
          <w:bCs/>
          <w:lang w:val="es-ES"/>
        </w:rPr>
        <w:t xml:space="preserve"> -que la Cámara ponderó como un dato de la subordinación jurídica-</w:t>
      </w:r>
      <w:r w:rsidR="004578DD" w:rsidRPr="000A2EB9">
        <w:rPr>
          <w:bCs/>
          <w:lang w:val="es-ES"/>
        </w:rPr>
        <w:t xml:space="preserve"> obedecieron a la necesidad de deslindar responsabilidades de naturaleza eminentemente profesional y relacionadas con las medidas mínimas y elementales de diligencia que debe adoptar todo establecimiento de salud frente a gravísimos actos que colocan en situación de riesgo la vida de los pacientes</w:t>
      </w:r>
      <w:r w:rsidRPr="000A2EB9">
        <w:rPr>
          <w:bCs/>
          <w:lang w:val="es-ES"/>
        </w:rPr>
        <w:t>.</w:t>
      </w:r>
    </w:p>
    <w:p w14:paraId="55614359" w14:textId="502C9B25" w:rsidR="0061438F" w:rsidRPr="000A2EB9" w:rsidRDefault="00D01B64" w:rsidP="0061438F">
      <w:pPr>
        <w:spacing w:line="360" w:lineRule="auto"/>
        <w:ind w:firstLine="720"/>
        <w:jc w:val="both"/>
        <w:rPr>
          <w:bCs/>
          <w:lang w:val="es-ES"/>
        </w:rPr>
      </w:pPr>
      <w:r w:rsidRPr="000A2EB9">
        <w:rPr>
          <w:bCs/>
          <w:lang w:val="es-ES"/>
        </w:rPr>
        <w:t>Por último, una curiosidad más: el Supremo Tribunal, tras descalificar el pronunciamiento de la Cámara, para evitar un dispendio jurisdiccional y “</w:t>
      </w:r>
      <w:r w:rsidRPr="000A2EB9">
        <w:rPr>
          <w:bCs/>
          <w:i/>
          <w:iCs/>
          <w:lang w:val="es-ES"/>
        </w:rPr>
        <w:t>con el fin de evitar los serios inconvenientes que genera para los involucrados en este proceso el estado de incertidumbre sobre la procedencia de las peticiones en ella formuladas”</w:t>
      </w:r>
      <w:r w:rsidRPr="000A2EB9">
        <w:rPr>
          <w:bCs/>
          <w:lang w:val="es-ES"/>
        </w:rPr>
        <w:t>, decidió hacer uso de la facultad que le confiere el art. 16, segunda parte, de la ley 48 (</w:t>
      </w:r>
      <w:r w:rsidRPr="000A2EB9">
        <w:rPr>
          <w:rStyle w:val="Refdenotaalpie"/>
          <w:bCs/>
          <w:lang w:val="es-ES"/>
        </w:rPr>
        <w:footnoteReference w:id="51"/>
      </w:r>
      <w:r w:rsidRPr="000A2EB9">
        <w:rPr>
          <w:bCs/>
          <w:lang w:val="es-ES"/>
        </w:rPr>
        <w:t>)</w:t>
      </w:r>
      <w:r w:rsidR="0061438F" w:rsidRPr="000A2EB9">
        <w:rPr>
          <w:bCs/>
          <w:lang w:val="es-ES"/>
        </w:rPr>
        <w:t xml:space="preserve"> y resolvió el fondo de la cuestión debatida. </w:t>
      </w:r>
      <w:r w:rsidR="005309B7" w:rsidRPr="000A2EB9">
        <w:rPr>
          <w:bCs/>
          <w:lang w:val="es-ES"/>
        </w:rPr>
        <w:t>Calific</w:t>
      </w:r>
      <w:r w:rsidR="0061438F" w:rsidRPr="000A2EB9">
        <w:rPr>
          <w:bCs/>
          <w:lang w:val="es-ES"/>
        </w:rPr>
        <w:t xml:space="preserve">o </w:t>
      </w:r>
      <w:r w:rsidR="005309B7" w:rsidRPr="000A2EB9">
        <w:rPr>
          <w:bCs/>
          <w:lang w:val="es-ES"/>
        </w:rPr>
        <w:t>e</w:t>
      </w:r>
      <w:r w:rsidR="0061438F" w:rsidRPr="000A2EB9">
        <w:rPr>
          <w:bCs/>
          <w:lang w:val="es-ES"/>
        </w:rPr>
        <w:t xml:space="preserve">sto como una curiosidad </w:t>
      </w:r>
      <w:r w:rsidR="0061438F" w:rsidRPr="000A2EB9">
        <w:rPr>
          <w:bCs/>
          <w:lang w:val="es-ES"/>
        </w:rPr>
        <w:lastRenderedPageBreak/>
        <w:t>puesto que la facultad del art. 16 de la ley 48 está prevista para los casos que llegan al Alto Tribunal por las razones federales enumeradas en el art. 14 de esa norma y es poco común que sea ejercitada en supuestos que versan sobre el derecho común.</w:t>
      </w:r>
    </w:p>
    <w:p w14:paraId="10EC5F1C" w14:textId="14A7AE7E" w:rsidR="0061438F" w:rsidRPr="000A2EB9" w:rsidRDefault="0061438F" w:rsidP="0061438F">
      <w:pPr>
        <w:spacing w:line="360" w:lineRule="auto"/>
        <w:ind w:firstLine="720"/>
        <w:jc w:val="both"/>
        <w:rPr>
          <w:bCs/>
          <w:lang w:val="es-ES"/>
        </w:rPr>
      </w:pPr>
      <w:r w:rsidRPr="000A2EB9">
        <w:rPr>
          <w:bCs/>
          <w:lang w:val="es-ES"/>
        </w:rPr>
        <w:t xml:space="preserve">En base a ello, y haciendo una remisión al análisis de las constancias de la causa que hiciera el decisorio de primera instancia, la Corte Suprema dispuso revocar la sentencia de la Cámara y, como si </w:t>
      </w:r>
      <w:r w:rsidR="005309B7" w:rsidRPr="000A2EB9">
        <w:rPr>
          <w:bCs/>
          <w:lang w:val="es-ES"/>
        </w:rPr>
        <w:t>actuase como una</w:t>
      </w:r>
      <w:r w:rsidRPr="000A2EB9">
        <w:rPr>
          <w:bCs/>
          <w:lang w:val="es-ES"/>
        </w:rPr>
        <w:t xml:space="preserve"> instancia</w:t>
      </w:r>
      <w:r w:rsidR="005309B7" w:rsidRPr="000A2EB9">
        <w:rPr>
          <w:bCs/>
          <w:lang w:val="es-ES"/>
        </w:rPr>
        <w:t xml:space="preserve"> de revisión ordinaria</w:t>
      </w:r>
      <w:r w:rsidRPr="000A2EB9">
        <w:rPr>
          <w:bCs/>
          <w:lang w:val="es-ES"/>
        </w:rPr>
        <w:t>, confirmar el rechazo de la acción contenido en aquel.</w:t>
      </w:r>
    </w:p>
    <w:p w14:paraId="0681698F" w14:textId="2A9125AE" w:rsidR="0061438F" w:rsidRPr="000A2EB9" w:rsidRDefault="0061438F" w:rsidP="0061438F">
      <w:pPr>
        <w:spacing w:line="360" w:lineRule="auto"/>
        <w:ind w:firstLine="720"/>
        <w:jc w:val="both"/>
        <w:rPr>
          <w:bCs/>
          <w:lang w:val="es-ES"/>
        </w:rPr>
      </w:pPr>
      <w:r w:rsidRPr="000A2EB9">
        <w:rPr>
          <w:bCs/>
          <w:lang w:val="es-ES"/>
        </w:rPr>
        <w:t xml:space="preserve">En la causa </w:t>
      </w:r>
      <w:r w:rsidR="002C7122" w:rsidRPr="000A2EB9">
        <w:rPr>
          <w:b/>
          <w:lang w:val="es-ES"/>
        </w:rPr>
        <w:t>“Rica, Carlos Martin c/ Hospital Alemán y otros”</w:t>
      </w:r>
      <w:r w:rsidRPr="000A2EB9">
        <w:rPr>
          <w:bCs/>
          <w:lang w:val="es-ES"/>
        </w:rPr>
        <w:t xml:space="preserve">, resuelta el 24/04/2018, nuevamente el debate versó sobre las prestaciones personales de un profesional de la medicina, aunque en este caso, a diferencia de “Cairone”, “De Aranoa” y “Pastore”, no se trató de un médico anestesiólogo sino de un </w:t>
      </w:r>
      <w:r w:rsidR="00AA3257" w:rsidRPr="000A2EB9">
        <w:rPr>
          <w:bCs/>
          <w:lang w:val="es-ES"/>
        </w:rPr>
        <w:t>neuro</w:t>
      </w:r>
      <w:r w:rsidRPr="000A2EB9">
        <w:rPr>
          <w:bCs/>
          <w:lang w:val="es-ES"/>
        </w:rPr>
        <w:t>cirujano.</w:t>
      </w:r>
    </w:p>
    <w:p w14:paraId="6DA91696" w14:textId="0E8693D2" w:rsidR="004F08B0" w:rsidRPr="000A2EB9" w:rsidRDefault="00012462" w:rsidP="004F08B0">
      <w:pPr>
        <w:spacing w:line="360" w:lineRule="auto"/>
        <w:ind w:firstLine="720"/>
        <w:jc w:val="both"/>
        <w:rPr>
          <w:bCs/>
          <w:lang w:val="es-ES"/>
        </w:rPr>
      </w:pPr>
      <w:r w:rsidRPr="000A2EB9">
        <w:rPr>
          <w:bCs/>
          <w:lang w:val="es-ES"/>
        </w:rPr>
        <w:t>Cabe destacar dos circunstancias particulares</w:t>
      </w:r>
      <w:r w:rsidR="007B2950" w:rsidRPr="000A2EB9">
        <w:rPr>
          <w:bCs/>
          <w:lang w:val="es-ES"/>
        </w:rPr>
        <w:t>: l</w:t>
      </w:r>
      <w:r w:rsidRPr="000A2EB9">
        <w:rPr>
          <w:bCs/>
          <w:lang w:val="es-ES"/>
        </w:rPr>
        <w:t xml:space="preserve">a primera es que, en este pronunciamiento, pese </w:t>
      </w:r>
      <w:r w:rsidR="007B2950" w:rsidRPr="000A2EB9">
        <w:rPr>
          <w:bCs/>
          <w:lang w:val="es-ES"/>
        </w:rPr>
        <w:t>cierta</w:t>
      </w:r>
      <w:r w:rsidRPr="000A2EB9">
        <w:rPr>
          <w:bCs/>
          <w:lang w:val="es-ES"/>
        </w:rPr>
        <w:t xml:space="preserve"> similitud de circunstancias fácticas y jurídicas con los casos precedentemente reseñados, la Corte Suprema trató puntillosamente los agravios deducidos por los codemandados, es decir que no utilizó la técnica de la remisión a los casos ya resueltos en “Cairone”, “De Aranoa” y “Pastore”</w:t>
      </w:r>
      <w:r w:rsidR="007B2950" w:rsidRPr="000A2EB9">
        <w:rPr>
          <w:bCs/>
          <w:lang w:val="es-ES"/>
        </w:rPr>
        <w:t>; y l</w:t>
      </w:r>
      <w:r w:rsidRPr="000A2EB9">
        <w:rPr>
          <w:bCs/>
          <w:lang w:val="es-ES"/>
        </w:rPr>
        <w:t xml:space="preserve">a segunda </w:t>
      </w:r>
      <w:r w:rsidR="007B2950" w:rsidRPr="000A2EB9">
        <w:rPr>
          <w:bCs/>
          <w:lang w:val="es-ES"/>
        </w:rPr>
        <w:t xml:space="preserve">particularidad consiste en </w:t>
      </w:r>
      <w:r w:rsidRPr="000A2EB9">
        <w:rPr>
          <w:bCs/>
          <w:lang w:val="es-ES"/>
        </w:rPr>
        <w:t>que la decisión fue adoptada por una ajustada mayoría, formada por el voto conjunto de los jueces Highton y Rosenkrantz más el voto concurrente del ministro Lorenzetti, mientras que los jueces Rosatti y Maqueda hicieron disidencia, en tanto entendieron</w:t>
      </w:r>
      <w:r w:rsidR="004F08B0" w:rsidRPr="000A2EB9">
        <w:rPr>
          <w:bCs/>
          <w:lang w:val="es-ES"/>
        </w:rPr>
        <w:t>, al adherir al Dictamen Fiscal producido por la Dra. Garc</w:t>
      </w:r>
      <w:r w:rsidR="007B2950" w:rsidRPr="000A2EB9">
        <w:rPr>
          <w:bCs/>
          <w:lang w:val="es-ES"/>
        </w:rPr>
        <w:t>í</w:t>
      </w:r>
      <w:r w:rsidR="004F08B0" w:rsidRPr="000A2EB9">
        <w:rPr>
          <w:bCs/>
          <w:lang w:val="es-ES"/>
        </w:rPr>
        <w:t>a Netto,</w:t>
      </w:r>
      <w:r w:rsidRPr="000A2EB9">
        <w:rPr>
          <w:bCs/>
          <w:lang w:val="es-ES"/>
        </w:rPr>
        <w:t xml:space="preserve"> que </w:t>
      </w:r>
      <w:r w:rsidR="004F08B0" w:rsidRPr="000A2EB9">
        <w:rPr>
          <w:bCs/>
          <w:lang w:val="es-ES"/>
        </w:rPr>
        <w:t>el recurso extraordinario no debería aceptarse en razón de que la recurrente no formuló -como es imprescindible de acuerdo al art. 15 de la ley 48- una crítica concreta y razonada a los fundamentos desarrollados por el Tribunal a quo, circunstancia que conduc</w:t>
      </w:r>
      <w:r w:rsidR="007B2950" w:rsidRPr="000A2EB9">
        <w:rPr>
          <w:bCs/>
          <w:lang w:val="es-ES"/>
        </w:rPr>
        <w:t>iría</w:t>
      </w:r>
      <w:r w:rsidR="004F08B0" w:rsidRPr="000A2EB9">
        <w:rPr>
          <w:bCs/>
          <w:lang w:val="es-ES"/>
        </w:rPr>
        <w:t xml:space="preserve"> a declarar la deserción</w:t>
      </w:r>
      <w:r w:rsidR="007B2950" w:rsidRPr="000A2EB9">
        <w:rPr>
          <w:bCs/>
          <w:lang w:val="es-ES"/>
        </w:rPr>
        <w:t xml:space="preserve"> del recurso.</w:t>
      </w:r>
    </w:p>
    <w:p w14:paraId="1D5F3D63" w14:textId="5720A03B" w:rsidR="00012462" w:rsidRPr="000A2EB9" w:rsidRDefault="004F08B0" w:rsidP="0061438F">
      <w:pPr>
        <w:spacing w:line="360" w:lineRule="auto"/>
        <w:ind w:firstLine="720"/>
        <w:jc w:val="both"/>
        <w:rPr>
          <w:bCs/>
          <w:lang w:val="es-ES"/>
        </w:rPr>
      </w:pPr>
      <w:r w:rsidRPr="000A2EB9">
        <w:rPr>
          <w:bCs/>
          <w:lang w:val="es-ES"/>
        </w:rPr>
        <w:t xml:space="preserve">Conviene dejar sentado que en la publicación original de la sentencia de la Corte Suprema se consignó erróneamente que estos dos magistrados consideraron que </w:t>
      </w:r>
      <w:r w:rsidR="00012462" w:rsidRPr="000A2EB9">
        <w:rPr>
          <w:bCs/>
          <w:lang w:val="es-ES"/>
        </w:rPr>
        <w:t>no se justificaba la apertura de la instancia extraordinaria, invocando el art. 280 del Código Procesal Civil y Comerci</w:t>
      </w:r>
      <w:r w:rsidR="0038054E" w:rsidRPr="000A2EB9">
        <w:rPr>
          <w:bCs/>
          <w:lang w:val="es-ES"/>
        </w:rPr>
        <w:t>al</w:t>
      </w:r>
      <w:r w:rsidR="007B2950" w:rsidRPr="000A2EB9">
        <w:rPr>
          <w:bCs/>
          <w:lang w:val="es-ES"/>
        </w:rPr>
        <w:t xml:space="preserve">, aunque </w:t>
      </w:r>
      <w:r w:rsidRPr="000A2EB9">
        <w:rPr>
          <w:bCs/>
          <w:lang w:val="es-ES"/>
        </w:rPr>
        <w:t>por aclaratoria del 03/05/2018 se corrigió tal error material, consignando la motivación precedentemente transcripta.</w:t>
      </w:r>
    </w:p>
    <w:p w14:paraId="7E69E687" w14:textId="587DDA4C" w:rsidR="002C7122" w:rsidRPr="000A2EB9" w:rsidRDefault="001A785B" w:rsidP="001A785B">
      <w:pPr>
        <w:spacing w:line="360" w:lineRule="auto"/>
        <w:ind w:firstLine="720"/>
        <w:jc w:val="both"/>
        <w:rPr>
          <w:bCs/>
          <w:lang w:val="es-ES"/>
        </w:rPr>
      </w:pPr>
      <w:r w:rsidRPr="000A2EB9">
        <w:rPr>
          <w:bCs/>
          <w:lang w:val="es-ES"/>
        </w:rPr>
        <w:t>Pues bien, a</w:t>
      </w:r>
      <w:r w:rsidR="00E24933" w:rsidRPr="000A2EB9">
        <w:rPr>
          <w:bCs/>
          <w:lang w:val="es-ES"/>
        </w:rPr>
        <w:t xml:space="preserve">l resolver </w:t>
      </w:r>
      <w:r w:rsidRPr="000A2EB9">
        <w:rPr>
          <w:bCs/>
          <w:lang w:val="es-ES"/>
        </w:rPr>
        <w:t xml:space="preserve">la mayoría </w:t>
      </w:r>
      <w:r w:rsidR="00E24933" w:rsidRPr="000A2EB9">
        <w:rPr>
          <w:bCs/>
          <w:lang w:val="es-ES"/>
        </w:rPr>
        <w:t>el recurso extraordinario deducido contra las sentencias</w:t>
      </w:r>
      <w:r w:rsidR="001F09DC" w:rsidRPr="000A2EB9">
        <w:rPr>
          <w:bCs/>
          <w:lang w:val="es-ES"/>
        </w:rPr>
        <w:t xml:space="preserve"> de primera y segunda instancia</w:t>
      </w:r>
      <w:r w:rsidR="00E24933" w:rsidRPr="000A2EB9">
        <w:rPr>
          <w:bCs/>
          <w:lang w:val="es-ES"/>
        </w:rPr>
        <w:t xml:space="preserve"> de la Justicia del Trabajo de la Capital Federal que reconocieron el carácter dependiente del vínculo entre el actor y el hospital demandado, el Máximo Tribunal comenzó </w:t>
      </w:r>
      <w:r w:rsidR="007B2950" w:rsidRPr="000A2EB9">
        <w:rPr>
          <w:bCs/>
          <w:lang w:val="es-ES"/>
        </w:rPr>
        <w:t xml:space="preserve">reconociendo </w:t>
      </w:r>
      <w:r w:rsidR="00E24933" w:rsidRPr="000A2EB9">
        <w:rPr>
          <w:bCs/>
          <w:lang w:val="es-ES"/>
        </w:rPr>
        <w:t xml:space="preserve">que, aunque los agravios expresados en los recursos extraordinarios remiten al examen de una cuestión de hecho, prueba y derecho común como es la atinente a la existencia o inexistencia de relación </w:t>
      </w:r>
      <w:r w:rsidR="00E24933" w:rsidRPr="000A2EB9">
        <w:rPr>
          <w:bCs/>
          <w:lang w:val="es-ES"/>
        </w:rPr>
        <w:lastRenderedPageBreak/>
        <w:t>laboral entre las partes</w:t>
      </w:r>
      <w:r w:rsidR="00012462" w:rsidRPr="000A2EB9">
        <w:rPr>
          <w:bCs/>
          <w:lang w:val="es-ES"/>
        </w:rPr>
        <w:t xml:space="preserve">, </w:t>
      </w:r>
      <w:r w:rsidR="00E24933" w:rsidRPr="000A2EB9">
        <w:rPr>
          <w:bCs/>
          <w:lang w:val="es-ES"/>
        </w:rPr>
        <w:t xml:space="preserve">cuestión regularmente ajena a la instancia extraordinaria, </w:t>
      </w:r>
      <w:r w:rsidR="007B2950" w:rsidRPr="000A2EB9">
        <w:rPr>
          <w:bCs/>
          <w:lang w:val="es-ES"/>
        </w:rPr>
        <w:t xml:space="preserve">pero entendiendo que cabía </w:t>
      </w:r>
      <w:r w:rsidR="00E24933" w:rsidRPr="000A2EB9">
        <w:rPr>
          <w:bCs/>
          <w:lang w:val="es-ES"/>
        </w:rPr>
        <w:t>hacer excepción a ese principio cuando, como ocur</w:t>
      </w:r>
      <w:r w:rsidR="007B2950" w:rsidRPr="000A2EB9">
        <w:rPr>
          <w:bCs/>
          <w:lang w:val="es-ES"/>
        </w:rPr>
        <w:t>riría</w:t>
      </w:r>
      <w:r w:rsidR="00E24933" w:rsidRPr="000A2EB9">
        <w:rPr>
          <w:bCs/>
          <w:lang w:val="es-ES"/>
        </w:rPr>
        <w:t xml:space="preserve"> en el caso, el </w:t>
      </w:r>
      <w:r w:rsidR="007B2950" w:rsidRPr="000A2EB9">
        <w:rPr>
          <w:bCs/>
          <w:lang w:val="es-ES"/>
        </w:rPr>
        <w:t>T</w:t>
      </w:r>
      <w:r w:rsidR="00E24933" w:rsidRPr="000A2EB9">
        <w:rPr>
          <w:bCs/>
          <w:lang w:val="es-ES"/>
        </w:rPr>
        <w:t>ribunal a qu</w:t>
      </w:r>
      <w:r w:rsidR="007B2950" w:rsidRPr="000A2EB9">
        <w:rPr>
          <w:bCs/>
          <w:lang w:val="es-ES"/>
        </w:rPr>
        <w:t>o</w:t>
      </w:r>
      <w:r w:rsidR="00E24933" w:rsidRPr="000A2EB9">
        <w:rPr>
          <w:bCs/>
          <w:lang w:val="es-ES"/>
        </w:rPr>
        <w:t xml:space="preserve"> no ha dado un tratamiento adecuado a la controversia de acuerdo con las constancias de la causa y la normativa aplicable</w:t>
      </w:r>
      <w:r w:rsidR="00012462" w:rsidRPr="000A2EB9">
        <w:rPr>
          <w:bCs/>
          <w:lang w:val="es-ES"/>
        </w:rPr>
        <w:t>.</w:t>
      </w:r>
    </w:p>
    <w:p w14:paraId="6A20EA0C" w14:textId="215EF5EB" w:rsidR="002B6A7F" w:rsidRPr="000A2EB9" w:rsidRDefault="002B6A7F" w:rsidP="002B6A7F">
      <w:pPr>
        <w:spacing w:line="360" w:lineRule="auto"/>
        <w:ind w:firstLine="720"/>
        <w:jc w:val="both"/>
        <w:rPr>
          <w:bCs/>
          <w:lang w:val="es-ES"/>
        </w:rPr>
      </w:pPr>
      <w:r w:rsidRPr="000A2EB9">
        <w:rPr>
          <w:bCs/>
          <w:lang w:val="es-ES"/>
        </w:rPr>
        <w:t>El voto conjunto de los jueces Highton y Rosenkrantz comenzó haciéndose cargo de un aspecto rimbombante del fallo de la Sala VII de la CNAT, ya que este Tribunal sostuvo que la Ley de Contrato de Trabajo 20.744 abrogó la figura de la locación de servicios del Código Civil</w:t>
      </w:r>
      <w:r w:rsidR="007B2950" w:rsidRPr="000A2EB9">
        <w:rPr>
          <w:bCs/>
          <w:lang w:val="es-ES"/>
        </w:rPr>
        <w:t xml:space="preserve"> y, a fin de </w:t>
      </w:r>
      <w:r w:rsidRPr="000A2EB9">
        <w:rPr>
          <w:bCs/>
          <w:lang w:val="es-ES"/>
        </w:rPr>
        <w:t>desvirtuar tal aseveración</w:t>
      </w:r>
      <w:r w:rsidR="007B2950" w:rsidRPr="000A2EB9">
        <w:rPr>
          <w:bCs/>
          <w:lang w:val="es-ES"/>
        </w:rPr>
        <w:t>,</w:t>
      </w:r>
      <w:r w:rsidRPr="000A2EB9">
        <w:rPr>
          <w:bCs/>
          <w:lang w:val="es-ES"/>
        </w:rPr>
        <w:t xml:space="preserve"> dichos magistrados calificaron tal afirmación de meramente dogmática y carente de basamento normativo alguno. </w:t>
      </w:r>
    </w:p>
    <w:p w14:paraId="2DDADE4E" w14:textId="1913990F" w:rsidR="002B6A7F" w:rsidRPr="000A2EB9" w:rsidRDefault="002B6A7F" w:rsidP="002B6A7F">
      <w:pPr>
        <w:spacing w:line="360" w:lineRule="auto"/>
        <w:ind w:firstLine="720"/>
        <w:jc w:val="both"/>
        <w:rPr>
          <w:bCs/>
          <w:lang w:val="es-ES"/>
        </w:rPr>
      </w:pPr>
      <w:r w:rsidRPr="000A2EB9">
        <w:rPr>
          <w:bCs/>
          <w:lang w:val="es-ES"/>
        </w:rPr>
        <w:t>Dijeron que al tiempo en que los litigantes se relacionaron contractualmente regía el artículo 1623 del Código Civil (</w:t>
      </w:r>
      <w:r w:rsidRPr="000A2EB9">
        <w:rPr>
          <w:rStyle w:val="Refdenotaalpie"/>
          <w:bCs/>
          <w:lang w:val="es-ES"/>
        </w:rPr>
        <w:footnoteReference w:id="52"/>
      </w:r>
      <w:r w:rsidRPr="000A2EB9">
        <w:rPr>
          <w:bCs/>
          <w:lang w:val="es-ES"/>
        </w:rPr>
        <w:t>) que preveía la posibilidad de contratación en los términos del contrato de locación de servicios, cuya vigencia es igualmente indiscutible al estar contemplada en los artículos 1251 y siguientes del Código Civil y Comercial de la Nación. En el mismo sentido, adujeron que tal tesis se opone a la normativa laboral debido a que el propio artículo 23 de la Ley de Contrato de Trabajo admite que la prestación de servicios se cumpla bajo una forma jurídica ajena a la legislación del trabajo, siendo ésta la locación de servicios autónomos, un contrato civil típico y habitual en el ámbito de los servicios profesionales</w:t>
      </w:r>
      <w:r w:rsidR="00C15C21" w:rsidRPr="000A2EB9">
        <w:rPr>
          <w:bCs/>
          <w:lang w:val="es-ES"/>
        </w:rPr>
        <w:t>, recordando asimismo que la contratación de profesionales para la atención médica, sea que se trate de profesionales autónomos o dependientes, tiene como punto en común la prestación de servicios.</w:t>
      </w:r>
    </w:p>
    <w:p w14:paraId="060A23BD" w14:textId="5DC6C060" w:rsidR="00A82E13" w:rsidRPr="000A2EB9" w:rsidRDefault="001F09DC" w:rsidP="00A82E13">
      <w:pPr>
        <w:spacing w:line="360" w:lineRule="auto"/>
        <w:ind w:firstLine="720"/>
        <w:jc w:val="both"/>
        <w:rPr>
          <w:bCs/>
          <w:lang w:val="es-ES"/>
        </w:rPr>
      </w:pPr>
      <w:r w:rsidRPr="000A2EB9">
        <w:rPr>
          <w:bCs/>
          <w:lang w:val="es-ES"/>
        </w:rPr>
        <w:t xml:space="preserve">Sobre tan peculiar afirmación de la Cámara, el voto concurrente con la mayoría formulado por el juez Lorenzetti agregó, medulosas consideraciones jurídicas sobre los institutos contractuales en cuestión. </w:t>
      </w:r>
      <w:r w:rsidR="00A82E13" w:rsidRPr="000A2EB9">
        <w:rPr>
          <w:bCs/>
          <w:lang w:val="es-ES"/>
        </w:rPr>
        <w:t>Comenzó afirmando</w:t>
      </w:r>
      <w:r w:rsidR="007B2950" w:rsidRPr="000A2EB9">
        <w:rPr>
          <w:bCs/>
          <w:lang w:val="es-ES"/>
        </w:rPr>
        <w:t>, con dureza,</w:t>
      </w:r>
      <w:r w:rsidR="00A82E13" w:rsidRPr="000A2EB9">
        <w:rPr>
          <w:bCs/>
          <w:lang w:val="es-ES"/>
        </w:rPr>
        <w:t xml:space="preserve"> que la aserción de la alzada relativa a la abrogación de la referida figura jurídica contractual del derecho civil constituy</w:t>
      </w:r>
      <w:r w:rsidR="007B2950" w:rsidRPr="000A2EB9">
        <w:rPr>
          <w:bCs/>
          <w:lang w:val="es-ES"/>
        </w:rPr>
        <w:t>ó</w:t>
      </w:r>
      <w:r w:rsidR="00A82E13" w:rsidRPr="000A2EB9">
        <w:rPr>
          <w:bCs/>
          <w:lang w:val="es-ES"/>
        </w:rPr>
        <w:t xml:space="preserve"> una mera afirmación dogmática que no reconoce basamento normativo ni fáctico; no </w:t>
      </w:r>
      <w:r w:rsidR="007B2950" w:rsidRPr="000A2EB9">
        <w:rPr>
          <w:bCs/>
          <w:lang w:val="es-ES"/>
        </w:rPr>
        <w:t>tenía</w:t>
      </w:r>
      <w:r w:rsidR="00A82E13" w:rsidRPr="000A2EB9">
        <w:rPr>
          <w:bCs/>
          <w:lang w:val="es-ES"/>
        </w:rPr>
        <w:t xml:space="preserve"> sustento en la legislación civil, por cuanto al tiempo en que los litigantes se relacionaron contractualmente regía el artículo 1623 del Código Civil de Dalmacio Vélez Sarsfield que preveía la contratación en los términos de la locación de servicios, cuya vigencia es igualmente indiscutible al estar contemplada en el artículo 1251 -y siguientes- del Código Civil y Comercial de la Nación, así como que esa aseveración del Tribunal a quo </w:t>
      </w:r>
      <w:r w:rsidR="007B2950" w:rsidRPr="000A2EB9">
        <w:rPr>
          <w:bCs/>
          <w:lang w:val="es-ES"/>
        </w:rPr>
        <w:t xml:space="preserve">estaba en oposición </w:t>
      </w:r>
      <w:r w:rsidR="00A82E13" w:rsidRPr="000A2EB9">
        <w:rPr>
          <w:bCs/>
          <w:lang w:val="es-ES"/>
        </w:rPr>
        <w:t>a la normativa laboral debido a que el propio artículo 23 de la ley 20.744 admite que la prestación de servicios se cumpla bajo una forma jurídica ajena a la legislación del trabajo, siendo la locación de servicios autónomos un contrato civil típico y habitual en el ámbito de los servicios profesionales.</w:t>
      </w:r>
    </w:p>
    <w:p w14:paraId="04AB295B" w14:textId="6E8B67BE" w:rsidR="001F09DC" w:rsidRPr="000A2EB9" w:rsidRDefault="001F09DC" w:rsidP="001F09DC">
      <w:pPr>
        <w:spacing w:line="360" w:lineRule="auto"/>
        <w:ind w:firstLine="720"/>
        <w:jc w:val="both"/>
        <w:rPr>
          <w:bCs/>
          <w:lang w:val="es-ES"/>
        </w:rPr>
      </w:pPr>
      <w:r w:rsidRPr="000A2EB9">
        <w:rPr>
          <w:bCs/>
          <w:lang w:val="es-ES"/>
        </w:rPr>
        <w:t xml:space="preserve">En </w:t>
      </w:r>
      <w:r w:rsidR="00A82E13" w:rsidRPr="000A2EB9">
        <w:rPr>
          <w:bCs/>
          <w:lang w:val="es-ES"/>
        </w:rPr>
        <w:t xml:space="preserve">ese sentido </w:t>
      </w:r>
      <w:r w:rsidRPr="000A2EB9">
        <w:rPr>
          <w:bCs/>
          <w:lang w:val="es-ES"/>
        </w:rPr>
        <w:t xml:space="preserve">recordó este magistrado que la ley argentina disciplina al contrato de trabajo en la ley 20.744 y que, para esa ley, el trabajo es una actividad que se </w:t>
      </w:r>
      <w:r w:rsidRPr="000A2EB9">
        <w:rPr>
          <w:bCs/>
          <w:lang w:val="es-ES"/>
        </w:rPr>
        <w:lastRenderedPageBreak/>
        <w:t xml:space="preserve">presta en favor de quien tiene la facultad de dirigirla y cuyo objeto es prestar servicios bajo la dependencia de otra persona, siendo típico del vínculo laboral las dependencias jurídica, económica y técnica. Añadió que, frente a una norma de carácter inclusivo como el artículo 23 de la ley 20.744, el derecho laboral busca expandirse y abarcar todas las situaciones de prestación de servicios. </w:t>
      </w:r>
    </w:p>
    <w:p w14:paraId="2D1F2C5D" w14:textId="77777777" w:rsidR="009E78C9" w:rsidRPr="000A2EB9" w:rsidRDefault="001F09DC" w:rsidP="001F09DC">
      <w:pPr>
        <w:spacing w:line="360" w:lineRule="auto"/>
        <w:ind w:firstLine="720"/>
        <w:jc w:val="both"/>
        <w:rPr>
          <w:bCs/>
          <w:lang w:val="es-ES"/>
        </w:rPr>
      </w:pPr>
      <w:r w:rsidRPr="000A2EB9">
        <w:rPr>
          <w:bCs/>
          <w:lang w:val="es-ES"/>
        </w:rPr>
        <w:t>Advirtió que, sin embargo, el principio protectorio del derecho laboral no puede significar la extinción de otras formas de relacionarse</w:t>
      </w:r>
      <w:r w:rsidR="009E78C9" w:rsidRPr="000A2EB9">
        <w:rPr>
          <w:bCs/>
          <w:lang w:val="es-ES"/>
        </w:rPr>
        <w:t xml:space="preserve">, destacando que la regla que surge de la sentencia apelada lleva a la calificación de todas las prestaciones o realización de servicios como dependientes, ignorando la presencia del prestador en un establecimiento ajeno es en ciertos casos necesaria y no por ello deja de ser de carácter autónomo e independiente. </w:t>
      </w:r>
    </w:p>
    <w:p w14:paraId="3F02DAB4" w14:textId="32CFA79C" w:rsidR="001F09DC" w:rsidRPr="000A2EB9" w:rsidRDefault="009E78C9" w:rsidP="001F09DC">
      <w:pPr>
        <w:spacing w:line="360" w:lineRule="auto"/>
        <w:ind w:firstLine="720"/>
        <w:jc w:val="both"/>
        <w:rPr>
          <w:bCs/>
          <w:lang w:val="es-ES"/>
        </w:rPr>
      </w:pPr>
      <w:r w:rsidRPr="000A2EB9">
        <w:rPr>
          <w:bCs/>
          <w:lang w:val="es-ES"/>
        </w:rPr>
        <w:t>Para el juez Lorenzetti, la lógica seguida por la cámara signific</w:t>
      </w:r>
      <w:r w:rsidR="007B2950" w:rsidRPr="000A2EB9">
        <w:rPr>
          <w:bCs/>
          <w:lang w:val="es-ES"/>
        </w:rPr>
        <w:t>ó</w:t>
      </w:r>
      <w:r w:rsidRPr="000A2EB9">
        <w:rPr>
          <w:bCs/>
          <w:lang w:val="es-ES"/>
        </w:rPr>
        <w:t xml:space="preserve"> desconocer la realidad de quienes se vinculan en el marco de diversas figuras en las que la subordinación propia del vínculo dependiente está ausente y que</w:t>
      </w:r>
      <w:r w:rsidR="007B2950" w:rsidRPr="000A2EB9">
        <w:rPr>
          <w:bCs/>
          <w:lang w:val="es-ES"/>
        </w:rPr>
        <w:t>,</w:t>
      </w:r>
      <w:r w:rsidRPr="000A2EB9">
        <w:rPr>
          <w:bCs/>
          <w:lang w:val="es-ES"/>
        </w:rPr>
        <w:t xml:space="preserve"> no obstante ser de legalidad indiscutida, son calificadas de fraudulentas por quienes propugnan incluir dentro del concepto de dependencia laboral a casos extraños a la regulación del </w:t>
      </w:r>
      <w:r w:rsidR="007B2950" w:rsidRPr="000A2EB9">
        <w:rPr>
          <w:bCs/>
          <w:lang w:val="es-ES"/>
        </w:rPr>
        <w:t>D</w:t>
      </w:r>
      <w:r w:rsidRPr="000A2EB9">
        <w:rPr>
          <w:bCs/>
          <w:lang w:val="es-ES"/>
        </w:rPr>
        <w:t xml:space="preserve">erecho del </w:t>
      </w:r>
      <w:r w:rsidR="007B2950" w:rsidRPr="000A2EB9">
        <w:rPr>
          <w:bCs/>
          <w:lang w:val="es-ES"/>
        </w:rPr>
        <w:t>T</w:t>
      </w:r>
      <w:r w:rsidRPr="000A2EB9">
        <w:rPr>
          <w:bCs/>
          <w:lang w:val="es-ES"/>
        </w:rPr>
        <w:t>rabajo.</w:t>
      </w:r>
    </w:p>
    <w:p w14:paraId="60C8F2C0" w14:textId="2D3F6F45" w:rsidR="002B6A7F" w:rsidRPr="000A2EB9" w:rsidRDefault="002B6A7F" w:rsidP="002B6A7F">
      <w:pPr>
        <w:spacing w:line="360" w:lineRule="auto"/>
        <w:ind w:firstLine="720"/>
        <w:jc w:val="both"/>
        <w:rPr>
          <w:bCs/>
          <w:lang w:val="es-ES"/>
        </w:rPr>
      </w:pPr>
      <w:r w:rsidRPr="000A2EB9">
        <w:rPr>
          <w:bCs/>
          <w:lang w:val="es-ES"/>
        </w:rPr>
        <w:t xml:space="preserve">Luego de rechazar esa </w:t>
      </w:r>
      <w:r w:rsidR="007B2950" w:rsidRPr="000A2EB9">
        <w:rPr>
          <w:bCs/>
          <w:lang w:val="es-ES"/>
        </w:rPr>
        <w:t>premisa sostenida por la Sala VII</w:t>
      </w:r>
      <w:r w:rsidRPr="000A2EB9">
        <w:rPr>
          <w:bCs/>
          <w:lang w:val="es-ES"/>
        </w:rPr>
        <w:t>, l</w:t>
      </w:r>
      <w:r w:rsidR="009E78C9" w:rsidRPr="000A2EB9">
        <w:rPr>
          <w:bCs/>
          <w:lang w:val="es-ES"/>
        </w:rPr>
        <w:t>os</w:t>
      </w:r>
      <w:r w:rsidRPr="000A2EB9">
        <w:rPr>
          <w:bCs/>
          <w:lang w:val="es-ES"/>
        </w:rPr>
        <w:t xml:space="preserve"> voto</w:t>
      </w:r>
      <w:r w:rsidR="009E78C9" w:rsidRPr="000A2EB9">
        <w:rPr>
          <w:bCs/>
          <w:lang w:val="es-ES"/>
        </w:rPr>
        <w:t>s</w:t>
      </w:r>
      <w:r w:rsidRPr="000A2EB9">
        <w:rPr>
          <w:bCs/>
          <w:lang w:val="es-ES"/>
        </w:rPr>
        <w:t xml:space="preserve"> de los jueces Highton</w:t>
      </w:r>
      <w:r w:rsidR="009E78C9" w:rsidRPr="000A2EB9">
        <w:rPr>
          <w:bCs/>
          <w:lang w:val="es-ES"/>
        </w:rPr>
        <w:t xml:space="preserve">, </w:t>
      </w:r>
      <w:r w:rsidRPr="000A2EB9">
        <w:rPr>
          <w:bCs/>
          <w:lang w:val="es-ES"/>
        </w:rPr>
        <w:t>Rosenkrantz</w:t>
      </w:r>
      <w:r w:rsidR="009E78C9" w:rsidRPr="000A2EB9">
        <w:rPr>
          <w:bCs/>
          <w:lang w:val="es-ES"/>
        </w:rPr>
        <w:t xml:space="preserve"> y Lorenzetti concordaron en que, </w:t>
      </w:r>
      <w:r w:rsidR="00C15C21" w:rsidRPr="000A2EB9">
        <w:rPr>
          <w:bCs/>
          <w:lang w:val="es-ES"/>
        </w:rPr>
        <w:t xml:space="preserve">además, </w:t>
      </w:r>
      <w:r w:rsidR="007B2950" w:rsidRPr="000A2EB9">
        <w:rPr>
          <w:bCs/>
          <w:lang w:val="es-ES"/>
        </w:rPr>
        <w:t xml:space="preserve">ese Tribunal </w:t>
      </w:r>
      <w:r w:rsidR="00C15C21" w:rsidRPr="000A2EB9">
        <w:rPr>
          <w:bCs/>
          <w:lang w:val="es-ES"/>
        </w:rPr>
        <w:t>omitió por completo considerar las particularidades de la relación que unía al actor con los codemandados.</w:t>
      </w:r>
    </w:p>
    <w:p w14:paraId="3FBDBB75" w14:textId="4A8AF4AC" w:rsidR="002C7122" w:rsidRPr="000A2EB9" w:rsidRDefault="00C15C21" w:rsidP="00C15C21">
      <w:pPr>
        <w:spacing w:line="360" w:lineRule="auto"/>
        <w:ind w:firstLine="720"/>
        <w:jc w:val="both"/>
        <w:rPr>
          <w:bCs/>
          <w:lang w:val="es-ES"/>
        </w:rPr>
      </w:pPr>
      <w:r w:rsidRPr="000A2EB9">
        <w:rPr>
          <w:bCs/>
          <w:lang w:val="es-ES"/>
        </w:rPr>
        <w:t>Como una admisión de la relevancia que la Corte ha otorgado a este tipo de cuestiones, el voto de la mayoría recuerda haber “</w:t>
      </w:r>
      <w:r w:rsidRPr="000A2EB9">
        <w:rPr>
          <w:bCs/>
          <w:i/>
          <w:iCs/>
          <w:lang w:val="es-ES"/>
        </w:rPr>
        <w:t>advertido a los jueces que deben estudiar en forma minuciosa las características de la relación existente entre el profesional médico y la institución hospitalaria a los efectos de dar una correcta solución al litigio</w:t>
      </w:r>
      <w:r w:rsidRPr="000A2EB9">
        <w:rPr>
          <w:bCs/>
          <w:lang w:val="es-ES"/>
        </w:rPr>
        <w:t xml:space="preserve">”. </w:t>
      </w:r>
    </w:p>
    <w:p w14:paraId="7EE95256" w14:textId="3F688792" w:rsidR="00C15C21" w:rsidRPr="000A2EB9" w:rsidRDefault="00C15C21" w:rsidP="00C15C21">
      <w:pPr>
        <w:spacing w:line="360" w:lineRule="auto"/>
        <w:jc w:val="both"/>
        <w:rPr>
          <w:bCs/>
          <w:lang w:val="es-ES"/>
        </w:rPr>
      </w:pPr>
      <w:r w:rsidRPr="000A2EB9">
        <w:rPr>
          <w:bCs/>
          <w:lang w:val="es-ES"/>
        </w:rPr>
        <w:tab/>
        <w:t xml:space="preserve">Seguidamente los </w:t>
      </w:r>
      <w:r w:rsidR="009E78C9" w:rsidRPr="000A2EB9">
        <w:rPr>
          <w:bCs/>
          <w:lang w:val="es-ES"/>
        </w:rPr>
        <w:t>tres</w:t>
      </w:r>
      <w:r w:rsidRPr="000A2EB9">
        <w:rPr>
          <w:bCs/>
          <w:lang w:val="es-ES"/>
        </w:rPr>
        <w:t xml:space="preserve"> jueces </w:t>
      </w:r>
      <w:r w:rsidR="009E78C9" w:rsidRPr="000A2EB9">
        <w:rPr>
          <w:bCs/>
          <w:lang w:val="es-ES"/>
        </w:rPr>
        <w:t xml:space="preserve">mencionados </w:t>
      </w:r>
      <w:r w:rsidRPr="000A2EB9">
        <w:rPr>
          <w:bCs/>
          <w:lang w:val="es-ES"/>
        </w:rPr>
        <w:t>entraron en el análisis de los hechos de la causa y en ese trance indicaron que el actor era uno de los socios de la "Asociación de Médicos y Profesionales del Hospital Alemán", una asociación civil constituida por los profesionales médicos que se desempeñan en dicho hospital y que dicha Asociación redactó una serie de normas</w:t>
      </w:r>
      <w:r w:rsidR="00E12BDB" w:rsidRPr="000A2EB9">
        <w:rPr>
          <w:bCs/>
          <w:lang w:val="es-ES"/>
        </w:rPr>
        <w:t xml:space="preserve">, </w:t>
      </w:r>
      <w:r w:rsidRPr="000A2EB9">
        <w:rPr>
          <w:bCs/>
          <w:lang w:val="es-ES"/>
        </w:rPr>
        <w:t xml:space="preserve">invocadas por el propio actor en el </w:t>
      </w:r>
      <w:r w:rsidR="00E12BDB" w:rsidRPr="000A2EB9">
        <w:rPr>
          <w:bCs/>
          <w:lang w:val="es-ES"/>
        </w:rPr>
        <w:t>escrito de demanda,</w:t>
      </w:r>
      <w:r w:rsidRPr="000A2EB9">
        <w:rPr>
          <w:bCs/>
          <w:lang w:val="es-ES"/>
        </w:rPr>
        <w:t xml:space="preserve"> denominadas "Guía de la Actividad del Cuerpo Profesional del</w:t>
      </w:r>
      <w:r w:rsidR="00E12BDB" w:rsidRPr="000A2EB9">
        <w:rPr>
          <w:bCs/>
          <w:lang w:val="es-ES"/>
        </w:rPr>
        <w:t xml:space="preserve"> </w:t>
      </w:r>
      <w:r w:rsidR="00E12BDB" w:rsidRPr="0002479C">
        <w:rPr>
          <w:lang w:val="es-ES"/>
        </w:rPr>
        <w:t xml:space="preserve">Hospital </w:t>
      </w:r>
      <w:r w:rsidRPr="000A2EB9">
        <w:rPr>
          <w:bCs/>
          <w:lang w:val="es-ES"/>
        </w:rPr>
        <w:t>Alemán" para regular las relaciones de los médicos</w:t>
      </w:r>
      <w:r w:rsidR="00E12BDB" w:rsidRPr="000A2EB9">
        <w:rPr>
          <w:bCs/>
          <w:lang w:val="es-ES"/>
        </w:rPr>
        <w:t xml:space="preserve">, </w:t>
      </w:r>
      <w:r w:rsidRPr="000A2EB9">
        <w:rPr>
          <w:bCs/>
          <w:lang w:val="es-ES"/>
        </w:rPr>
        <w:t>como el actor</w:t>
      </w:r>
      <w:r w:rsidR="00E12BDB" w:rsidRPr="000A2EB9">
        <w:rPr>
          <w:bCs/>
          <w:lang w:val="es-ES"/>
        </w:rPr>
        <w:t xml:space="preserve">, </w:t>
      </w:r>
      <w:r w:rsidRPr="000A2EB9">
        <w:rPr>
          <w:bCs/>
          <w:lang w:val="es-ES"/>
        </w:rPr>
        <w:t>a ella asociados y el Hospital Alemán en el cometido común de prestar servicios médicos a terceros.</w:t>
      </w:r>
    </w:p>
    <w:p w14:paraId="1DD2D654" w14:textId="09F70571" w:rsidR="002C7122" w:rsidRPr="000A2EB9" w:rsidRDefault="00C15C21" w:rsidP="00C15C21">
      <w:pPr>
        <w:spacing w:line="360" w:lineRule="auto"/>
        <w:jc w:val="both"/>
        <w:rPr>
          <w:bCs/>
          <w:lang w:val="es-ES"/>
        </w:rPr>
      </w:pPr>
      <w:r w:rsidRPr="000A2EB9">
        <w:rPr>
          <w:bCs/>
          <w:lang w:val="es-ES"/>
        </w:rPr>
        <w:tab/>
        <w:t xml:space="preserve">Del análisis de </w:t>
      </w:r>
      <w:r w:rsidR="00E12BDB" w:rsidRPr="000A2EB9">
        <w:rPr>
          <w:bCs/>
          <w:lang w:val="es-ES"/>
        </w:rPr>
        <w:t>es</w:t>
      </w:r>
      <w:r w:rsidRPr="000A2EB9">
        <w:rPr>
          <w:bCs/>
          <w:lang w:val="es-ES"/>
        </w:rPr>
        <w:t>a Guía, dijeron los jueces</w:t>
      </w:r>
      <w:r w:rsidR="009E78C9" w:rsidRPr="000A2EB9">
        <w:rPr>
          <w:bCs/>
          <w:lang w:val="es-ES"/>
        </w:rPr>
        <w:t xml:space="preserve">, </w:t>
      </w:r>
      <w:r w:rsidRPr="000A2EB9">
        <w:rPr>
          <w:bCs/>
          <w:lang w:val="es-ES"/>
        </w:rPr>
        <w:t>surgen reglas relevantes que “</w:t>
      </w:r>
      <w:r w:rsidRPr="000A2EB9">
        <w:rPr>
          <w:bCs/>
          <w:i/>
          <w:iCs/>
          <w:lang w:val="es-ES"/>
        </w:rPr>
        <w:t>el Tribunal a quo debió haber tenido en cuenta para caracterizar de modo adecuado la relación jurídica existente entre el actor y los aquí demandados</w:t>
      </w:r>
      <w:r w:rsidRPr="000A2EB9">
        <w:rPr>
          <w:bCs/>
          <w:lang w:val="es-ES"/>
        </w:rPr>
        <w:t>”, reprochándole que no haya ponderado la incidencia de la falta de una retribución y el poder para determinar la contraprestación que tenían los médicos por sus servicios para establecer si lo que el actor percibía contaba como remuneración, tal como ello es concebido por la Ley de Contrato de Trabajo.</w:t>
      </w:r>
    </w:p>
    <w:p w14:paraId="7EC92BA7" w14:textId="46CE7CA3" w:rsidR="00C15C21" w:rsidRPr="000A2EB9" w:rsidRDefault="00C15C21" w:rsidP="002C7122">
      <w:pPr>
        <w:spacing w:line="360" w:lineRule="auto"/>
        <w:jc w:val="both"/>
        <w:rPr>
          <w:bCs/>
          <w:lang w:val="es-ES"/>
        </w:rPr>
      </w:pPr>
      <w:r w:rsidRPr="000A2EB9">
        <w:rPr>
          <w:bCs/>
          <w:lang w:val="es-ES"/>
        </w:rPr>
        <w:lastRenderedPageBreak/>
        <w:tab/>
        <w:t>A juicio de dichos magistrados, de tal Guía surgen varios rasgos de la relación entre el actor y el hospital que “</w:t>
      </w:r>
      <w:r w:rsidRPr="000A2EB9">
        <w:rPr>
          <w:bCs/>
          <w:i/>
          <w:iCs/>
          <w:lang w:val="es-ES"/>
        </w:rPr>
        <w:t>ponen de manifiesto que los profesionales médicos como el actor tenían una injerencia directa en la organización de los medios personales con los que prestaban los servicios a los</w:t>
      </w:r>
      <w:r w:rsidR="008A50B9" w:rsidRPr="000A2EB9">
        <w:rPr>
          <w:bCs/>
          <w:i/>
          <w:iCs/>
          <w:lang w:val="es-ES"/>
        </w:rPr>
        <w:t xml:space="preserve"> </w:t>
      </w:r>
      <w:r w:rsidRPr="000A2EB9">
        <w:rPr>
          <w:bCs/>
          <w:i/>
          <w:iCs/>
          <w:lang w:val="es-ES"/>
        </w:rPr>
        <w:t>que</w:t>
      </w:r>
      <w:r w:rsidR="008A50B9" w:rsidRPr="000A2EB9">
        <w:rPr>
          <w:bCs/>
          <w:i/>
          <w:iCs/>
          <w:lang w:val="es-ES"/>
        </w:rPr>
        <w:t xml:space="preserve"> </w:t>
      </w:r>
      <w:r w:rsidRPr="000A2EB9">
        <w:rPr>
          <w:bCs/>
          <w:i/>
          <w:iCs/>
          <w:lang w:val="es-ES"/>
        </w:rPr>
        <w:t xml:space="preserve">se habían comprometido (participaban en la elección de los profesionales que integraban cada servicio, aceptaban el modo de designación de los Jefes de Servicio y de Departamento, participaban en el establecimiento de las normas que debían seguirse </w:t>
      </w:r>
      <w:r w:rsidR="008A50B9" w:rsidRPr="000A2EB9">
        <w:rPr>
          <w:bCs/>
          <w:i/>
          <w:iCs/>
          <w:lang w:val="es-ES"/>
        </w:rPr>
        <w:t>a</w:t>
      </w:r>
      <w:r w:rsidRPr="000A2EB9">
        <w:rPr>
          <w:bCs/>
          <w:i/>
          <w:iCs/>
          <w:lang w:val="es-ES"/>
        </w:rPr>
        <w:t>l realizar prestaciones y en la fijación de la contraprestación) y que dichos medios no eran otros que aquellos destinados a lograr el mismo fin económico que el hospital (realizar prestaciones de salud, complementarias a las que realizaba el Hospital Alemán por sí, a cambio de dinero). Por otro lado, los médicos tenían también una injerencia directa en la determinación de las pautas que establecían cómo debían efectuarse las prestaciones. Por, último, tales profesionales como el actor asumían conjuntamente con el Hospital Alemán el riesgo de que el fin económico que buscaban a través de la oferta de servicios de prestación médica no se lograse al punto de que habían consentido cobrar solo si realizaban prestaciones a terceros</w:t>
      </w:r>
      <w:r w:rsidRPr="000A2EB9">
        <w:rPr>
          <w:bCs/>
          <w:lang w:val="es-ES"/>
        </w:rPr>
        <w:t>”</w:t>
      </w:r>
      <w:r w:rsidR="008A50B9" w:rsidRPr="000A2EB9">
        <w:rPr>
          <w:bCs/>
          <w:lang w:val="es-ES"/>
        </w:rPr>
        <w:t xml:space="preserve"> y le endilg</w:t>
      </w:r>
      <w:r w:rsidR="00E12BDB" w:rsidRPr="000A2EB9">
        <w:rPr>
          <w:bCs/>
          <w:lang w:val="es-ES"/>
        </w:rPr>
        <w:t>ó</w:t>
      </w:r>
      <w:r w:rsidR="008A50B9" w:rsidRPr="000A2EB9">
        <w:rPr>
          <w:bCs/>
          <w:lang w:val="es-ES"/>
        </w:rPr>
        <w:t xml:space="preserve"> a la Cámara no haber tenido en cuenta tales pautas.</w:t>
      </w:r>
    </w:p>
    <w:p w14:paraId="2A4BE487" w14:textId="77777777" w:rsidR="00E12BDB" w:rsidRPr="000A2EB9" w:rsidRDefault="009E78C9" w:rsidP="009E78C9">
      <w:pPr>
        <w:spacing w:line="360" w:lineRule="auto"/>
        <w:jc w:val="both"/>
        <w:rPr>
          <w:bCs/>
          <w:lang w:val="es-ES"/>
        </w:rPr>
      </w:pPr>
      <w:r w:rsidRPr="000A2EB9">
        <w:rPr>
          <w:bCs/>
          <w:lang w:val="es-ES"/>
        </w:rPr>
        <w:tab/>
        <w:t>El juez Lorenzetti, en su voto concurrente con la mayoría, hizo hincapié en que la Cámara debió haber ponderado la incidencia de la falta de una retribución y el poder para determinar los honorarios que tenían los médicos abonados en función de las prácticas efectivamente por ellos realizadas, circunstancias que no permitirían prima facie conceptuar el ingreso económico del actor como remuneración</w:t>
      </w:r>
      <w:r w:rsidR="00E12BDB" w:rsidRPr="000A2EB9">
        <w:rPr>
          <w:bCs/>
          <w:lang w:val="es-ES"/>
        </w:rPr>
        <w:t>.</w:t>
      </w:r>
    </w:p>
    <w:p w14:paraId="08E7E566" w14:textId="1FE11F20" w:rsidR="009E78C9" w:rsidRPr="000A2EB9" w:rsidRDefault="00E12BDB" w:rsidP="00E12BDB">
      <w:pPr>
        <w:spacing w:line="360" w:lineRule="auto"/>
        <w:ind w:firstLine="720"/>
        <w:jc w:val="both"/>
        <w:rPr>
          <w:bCs/>
          <w:lang w:val="es-ES"/>
        </w:rPr>
      </w:pPr>
      <w:r w:rsidRPr="000A2EB9">
        <w:rPr>
          <w:bCs/>
          <w:lang w:val="es-ES"/>
        </w:rPr>
        <w:t xml:space="preserve">Asimismo, formuló </w:t>
      </w:r>
      <w:r w:rsidR="009E78C9" w:rsidRPr="000A2EB9">
        <w:rPr>
          <w:bCs/>
          <w:lang w:val="es-ES"/>
        </w:rPr>
        <w:t>una consideración interesante, al decir que la ajenidad del riesgo es un elemento distintivo de la prestación de servicios en el marco de una relación de subordinación, debido a que el dependiente tiene una base de ingresos fija y regular asegurada, mientras que quien ejerce en forma autónoma, tratándose de un profesional médico, depende para recibir ingresos de que, los pacientes directamente o bien la obra social o el intermediario financiero, realicen el pago.</w:t>
      </w:r>
    </w:p>
    <w:p w14:paraId="774C0833" w14:textId="29EBFD83" w:rsidR="00A22CC0" w:rsidRPr="000A2EB9" w:rsidRDefault="00A22CC0" w:rsidP="009E78C9">
      <w:pPr>
        <w:spacing w:line="360" w:lineRule="auto"/>
        <w:jc w:val="both"/>
        <w:rPr>
          <w:bCs/>
          <w:lang w:val="es-ES"/>
        </w:rPr>
      </w:pPr>
      <w:r w:rsidRPr="000A2EB9">
        <w:rPr>
          <w:bCs/>
          <w:lang w:val="es-ES"/>
        </w:rPr>
        <w:tab/>
        <w:t>Y en relación al rol del demandante en la Asociación antes mencionada, el ministro Lorenzetti resaltó que la Cámara tampoco consider</w:t>
      </w:r>
      <w:r w:rsidR="00FE350A" w:rsidRPr="000A2EB9">
        <w:rPr>
          <w:bCs/>
          <w:lang w:val="es-ES"/>
        </w:rPr>
        <w:t>ó</w:t>
      </w:r>
      <w:r w:rsidRPr="000A2EB9">
        <w:rPr>
          <w:bCs/>
          <w:lang w:val="es-ES"/>
        </w:rPr>
        <w:t xml:space="preserve"> la buena fe como deber jurídico que debe regir en toda relación contractual y conforme al cual deben conducirse cada una de las partes en razón de la confianza y expectativas que genera en el otro contratante con respecto a su cumplimiento, afirmando que no es posible desconocer el compromiso asumido por las partes nacido del libre acuerdo de voluntades, quienes convinieron que se ejecutaría bajo determinada modalidad que no puede calificarse de fraudulenta.</w:t>
      </w:r>
    </w:p>
    <w:p w14:paraId="3FE24CCC" w14:textId="463695CF" w:rsidR="00C15C21" w:rsidRPr="000A2EB9" w:rsidRDefault="008A50B9" w:rsidP="002C7122">
      <w:pPr>
        <w:spacing w:line="360" w:lineRule="auto"/>
        <w:jc w:val="both"/>
        <w:rPr>
          <w:bCs/>
          <w:lang w:val="es-ES"/>
        </w:rPr>
      </w:pPr>
      <w:r w:rsidRPr="000A2EB9">
        <w:rPr>
          <w:bCs/>
          <w:lang w:val="es-ES"/>
        </w:rPr>
        <w:tab/>
      </w:r>
      <w:r w:rsidR="00622E59" w:rsidRPr="000A2EB9">
        <w:rPr>
          <w:bCs/>
          <w:lang w:val="es-ES"/>
        </w:rPr>
        <w:t>Por añadidura, el voto de los jueces Highton y Rosenkrantz asever</w:t>
      </w:r>
      <w:r w:rsidR="00E12BDB" w:rsidRPr="000A2EB9">
        <w:rPr>
          <w:bCs/>
          <w:lang w:val="es-ES"/>
        </w:rPr>
        <w:t>ó</w:t>
      </w:r>
      <w:r w:rsidR="00622E59" w:rsidRPr="000A2EB9">
        <w:rPr>
          <w:bCs/>
          <w:lang w:val="es-ES"/>
        </w:rPr>
        <w:t xml:space="preserve"> que tampoco tuvo en cuenta el Tribunal a quo que el actor era monotributista, y emitía facturas no correlativas, cuyo importe difería todos los meses ya que dependía de las prácticas realizadas; así como, asimismo, no fue tenido en cuenta que el demandante “</w:t>
      </w:r>
      <w:r w:rsidR="00622E59" w:rsidRPr="000A2EB9">
        <w:rPr>
          <w:bCs/>
          <w:i/>
          <w:iCs/>
          <w:lang w:val="es-ES"/>
        </w:rPr>
        <w:t>nunca hizo reclamo laboral de ninguna naturaleza durante los siete años que duró la relación</w:t>
      </w:r>
      <w:r w:rsidR="00622E59" w:rsidRPr="000A2EB9">
        <w:rPr>
          <w:bCs/>
          <w:lang w:val="es-ES"/>
        </w:rPr>
        <w:t>”, no invocó ni probó que haya gozado de licencias o vacaciones pagas.</w:t>
      </w:r>
    </w:p>
    <w:p w14:paraId="5A5AEA2E" w14:textId="657DFD04" w:rsidR="00C15C21" w:rsidRPr="000A2EB9" w:rsidRDefault="00622E59" w:rsidP="002C7122">
      <w:pPr>
        <w:spacing w:line="360" w:lineRule="auto"/>
        <w:jc w:val="both"/>
        <w:rPr>
          <w:bCs/>
          <w:lang w:val="es-ES"/>
        </w:rPr>
      </w:pPr>
      <w:r w:rsidRPr="000A2EB9">
        <w:rPr>
          <w:bCs/>
          <w:lang w:val="es-ES"/>
        </w:rPr>
        <w:lastRenderedPageBreak/>
        <w:tab/>
        <w:t>Más aún, destacaron estos ministros que varios testigos sostuvieron que “</w:t>
      </w:r>
      <w:r w:rsidRPr="000A2EB9">
        <w:rPr>
          <w:bCs/>
          <w:i/>
          <w:iCs/>
          <w:lang w:val="es-ES"/>
        </w:rPr>
        <w:t>cada médico podía fijar sus propios horarios y, respecto del monto de los honorarios, que en las facturas del Hospital Alemán se hace constar que los sectores privados (sic) Ay B pueden elegir médicos y convenir sus honorarios</w:t>
      </w:r>
      <w:r w:rsidRPr="000A2EB9">
        <w:rPr>
          <w:bCs/>
          <w:lang w:val="es-ES"/>
        </w:rPr>
        <w:t>”.</w:t>
      </w:r>
    </w:p>
    <w:p w14:paraId="2D60716C" w14:textId="5D696002" w:rsidR="00622E59" w:rsidRPr="000A2EB9" w:rsidRDefault="00622E59" w:rsidP="00622E59">
      <w:pPr>
        <w:spacing w:line="360" w:lineRule="auto"/>
        <w:jc w:val="both"/>
        <w:rPr>
          <w:bCs/>
          <w:lang w:val="es-ES"/>
        </w:rPr>
      </w:pPr>
      <w:r w:rsidRPr="000A2EB9">
        <w:rPr>
          <w:bCs/>
          <w:lang w:val="es-ES"/>
        </w:rPr>
        <w:tab/>
        <w:t>Por último, el voto de la mayoría sostuvo que el hecho de que el actor concurriera todos los días a trabajar, que trabajara en el establecimiento de propiedad del Hospital Alemán y que sus honorarios hayan sido su única fuente de ingresos no son suficientes para concluir, en función del contexto descrito, que la relación era dependiente y, por todas estas razones, votaron por descalificar el decisorio de grado por no apoyarse en una valoración suficiente de los distintos elementos incorporados al proceso y en tanto no constituye una derivación razonada del derecho vigente con aplicación a las circunstancias comprobadas de la causa.</w:t>
      </w:r>
    </w:p>
    <w:p w14:paraId="2E950944" w14:textId="41C928BD" w:rsidR="00FE350A" w:rsidRPr="000A2EB9" w:rsidRDefault="00FE350A" w:rsidP="00622E59">
      <w:pPr>
        <w:spacing w:line="360" w:lineRule="auto"/>
        <w:jc w:val="both"/>
        <w:rPr>
          <w:bCs/>
          <w:lang w:val="es-ES"/>
        </w:rPr>
      </w:pPr>
      <w:r w:rsidRPr="000A2EB9">
        <w:rPr>
          <w:bCs/>
          <w:lang w:val="es-ES"/>
        </w:rPr>
        <w:tab/>
        <w:t>En relación a la existencia de reglas de control, el juez Lorenzetti agregó que, si se entiende que la sola verificaci6n y control supone un trabajo dirigido, podría llegarse a la inexacta conclusión de que la mayoría de las prestaciones médicas son dependientes, puesto que normalmente interviene una entidad (obra social, seguro de salud, empresa de medicina prepaga, clínica, hospital público, colegios profesionales) que ejerce un control sobre la prestaci6n</w:t>
      </w:r>
    </w:p>
    <w:p w14:paraId="65E02131" w14:textId="0D8A12E0" w:rsidR="0027141F" w:rsidRPr="000A2EB9" w:rsidRDefault="0027141F" w:rsidP="0047526F">
      <w:pPr>
        <w:spacing w:line="360" w:lineRule="auto"/>
        <w:jc w:val="both"/>
        <w:rPr>
          <w:bCs/>
          <w:lang w:val="es-ES"/>
        </w:rPr>
      </w:pPr>
      <w:r w:rsidRPr="000A2EB9">
        <w:rPr>
          <w:bCs/>
          <w:lang w:val="es-ES"/>
        </w:rPr>
        <w:tab/>
      </w:r>
      <w:r w:rsidR="0047526F" w:rsidRPr="000A2EB9">
        <w:rPr>
          <w:bCs/>
          <w:lang w:val="es-ES"/>
        </w:rPr>
        <w:t xml:space="preserve">Esta severa línea jurisprudencial que la Corte Suprema argentina impuso en relación a profesionales de la medicina, con sus consideraciones acerca de las líneas que separan al contrato de trabajo de la locación de servicios, termina, al menos al momento de escribir estas líneas, con la sentencia dada en el caso </w:t>
      </w:r>
      <w:r w:rsidRPr="000A2EB9">
        <w:rPr>
          <w:b/>
          <w:lang w:val="es-ES"/>
        </w:rPr>
        <w:t>“Zechner, Evelina c. Centro de Educación Médica”</w:t>
      </w:r>
      <w:r w:rsidRPr="000A2EB9">
        <w:rPr>
          <w:bCs/>
          <w:lang w:val="es-ES"/>
        </w:rPr>
        <w:t xml:space="preserve">, </w:t>
      </w:r>
      <w:r w:rsidR="0047526F" w:rsidRPr="000A2EB9">
        <w:rPr>
          <w:bCs/>
          <w:lang w:val="es-ES"/>
        </w:rPr>
        <w:t xml:space="preserve">de fecha </w:t>
      </w:r>
      <w:r w:rsidRPr="000A2EB9">
        <w:rPr>
          <w:bCs/>
          <w:lang w:val="es-ES"/>
        </w:rPr>
        <w:t>5/11/2019</w:t>
      </w:r>
      <w:r w:rsidR="0047526F" w:rsidRPr="000A2EB9">
        <w:rPr>
          <w:bCs/>
          <w:lang w:val="es-ES"/>
        </w:rPr>
        <w:t>, atinente a una profesional oftalmóloga.</w:t>
      </w:r>
    </w:p>
    <w:p w14:paraId="0502CF74" w14:textId="28027487" w:rsidR="0047526F" w:rsidRPr="000A2EB9" w:rsidRDefault="0047526F" w:rsidP="0047526F">
      <w:pPr>
        <w:spacing w:line="360" w:lineRule="auto"/>
        <w:jc w:val="both"/>
        <w:rPr>
          <w:bCs/>
          <w:lang w:val="es-ES"/>
        </w:rPr>
      </w:pPr>
      <w:r w:rsidRPr="000A2EB9">
        <w:rPr>
          <w:bCs/>
          <w:lang w:val="es-ES"/>
        </w:rPr>
        <w:tab/>
      </w:r>
      <w:r w:rsidR="002D5714" w:rsidRPr="000A2EB9">
        <w:rPr>
          <w:bCs/>
          <w:lang w:val="es-ES"/>
        </w:rPr>
        <w:t>Al igual que ocurriera en el expediente “Rica”, formaron mayoría los jueces Highton y Rosenkrantz sumando el voto concurrente del ministro Lorenzetti, mientras que los vocales Rosatti y Maqueda votaron en disidencia, considerando que el caso no merecía la intervención del Alto Tribunal, con cita del ya mencionado art. 280 del Código Procesal Civil y Comercial de la Nación.</w:t>
      </w:r>
    </w:p>
    <w:p w14:paraId="4627FE58" w14:textId="45C3A86C" w:rsidR="002D5714" w:rsidRPr="000A2EB9" w:rsidRDefault="002D5714" w:rsidP="002D5714">
      <w:pPr>
        <w:spacing w:line="360" w:lineRule="auto"/>
        <w:ind w:firstLine="720"/>
        <w:jc w:val="both"/>
        <w:rPr>
          <w:bCs/>
          <w:lang w:val="es-ES"/>
        </w:rPr>
      </w:pPr>
      <w:r w:rsidRPr="000A2EB9">
        <w:rPr>
          <w:bCs/>
          <w:lang w:val="es-ES"/>
        </w:rPr>
        <w:t xml:space="preserve">También en esta causa la sentencia había sido dictada por la Sala VII de la CNAT y el voto </w:t>
      </w:r>
      <w:r w:rsidR="00EA3A63" w:rsidRPr="000A2EB9">
        <w:rPr>
          <w:bCs/>
          <w:lang w:val="es-ES"/>
        </w:rPr>
        <w:t xml:space="preserve">conjunto </w:t>
      </w:r>
      <w:r w:rsidRPr="000A2EB9">
        <w:rPr>
          <w:bCs/>
          <w:lang w:val="es-ES"/>
        </w:rPr>
        <w:t xml:space="preserve">de </w:t>
      </w:r>
      <w:r w:rsidR="00EA3A63" w:rsidRPr="000A2EB9">
        <w:rPr>
          <w:bCs/>
          <w:lang w:val="es-ES"/>
        </w:rPr>
        <w:t>los jueces Highton</w:t>
      </w:r>
      <w:r w:rsidRPr="000A2EB9">
        <w:rPr>
          <w:bCs/>
          <w:lang w:val="es-ES"/>
        </w:rPr>
        <w:t xml:space="preserve"> </w:t>
      </w:r>
      <w:r w:rsidR="00EA3A63" w:rsidRPr="000A2EB9">
        <w:rPr>
          <w:bCs/>
          <w:lang w:val="es-ES"/>
        </w:rPr>
        <w:t xml:space="preserve">y Rosenkrantz y el concurrente del juez Lorenzetti </w:t>
      </w:r>
      <w:r w:rsidRPr="000A2EB9">
        <w:rPr>
          <w:bCs/>
          <w:lang w:val="es-ES"/>
        </w:rPr>
        <w:t>a</w:t>
      </w:r>
      <w:r w:rsidR="00835F9E" w:rsidRPr="000A2EB9">
        <w:rPr>
          <w:bCs/>
          <w:lang w:val="es-ES"/>
        </w:rPr>
        <w:t>dmitie</w:t>
      </w:r>
      <w:r w:rsidR="00EA3A63" w:rsidRPr="000A2EB9">
        <w:rPr>
          <w:bCs/>
          <w:lang w:val="es-ES"/>
        </w:rPr>
        <w:t>ron</w:t>
      </w:r>
      <w:r w:rsidRPr="000A2EB9">
        <w:rPr>
          <w:bCs/>
          <w:lang w:val="es-ES"/>
        </w:rPr>
        <w:t xml:space="preserve"> que, aunque el examen de una materia de hecho, prueba y derecho común como es la atinente a la existencia o inexistencia de relación laboral entre las partes, es regularmente ajena a la instancia extraordinaria, cab</w:t>
      </w:r>
      <w:r w:rsidR="00835F9E" w:rsidRPr="000A2EB9">
        <w:rPr>
          <w:bCs/>
          <w:lang w:val="es-ES"/>
        </w:rPr>
        <w:t>ía</w:t>
      </w:r>
      <w:r w:rsidRPr="000A2EB9">
        <w:rPr>
          <w:bCs/>
          <w:lang w:val="es-ES"/>
        </w:rPr>
        <w:t xml:space="preserve"> hacer excepción a ese principio cuando el Tribunal a quo no ha dado un tratamiento adecuado a la controversia de acuerdo con las constancias de la causa.</w:t>
      </w:r>
    </w:p>
    <w:p w14:paraId="07554CD0" w14:textId="0EAEA775" w:rsidR="002D5714" w:rsidRPr="000A2EB9" w:rsidRDefault="002D5714" w:rsidP="002D5714">
      <w:pPr>
        <w:spacing w:line="360" w:lineRule="auto"/>
        <w:ind w:firstLine="720"/>
        <w:jc w:val="both"/>
        <w:rPr>
          <w:bCs/>
          <w:lang w:val="es-ES"/>
        </w:rPr>
      </w:pPr>
      <w:r w:rsidRPr="000A2EB9">
        <w:rPr>
          <w:bCs/>
          <w:lang w:val="es-ES"/>
        </w:rPr>
        <w:t>En tal sentido memor</w:t>
      </w:r>
      <w:r w:rsidR="00EA3A63" w:rsidRPr="000A2EB9">
        <w:rPr>
          <w:bCs/>
          <w:lang w:val="es-ES"/>
        </w:rPr>
        <w:t xml:space="preserve">aron los 4 magistrados </w:t>
      </w:r>
      <w:r w:rsidRPr="000A2EB9">
        <w:rPr>
          <w:bCs/>
          <w:lang w:val="es-ES"/>
        </w:rPr>
        <w:t>que la contratación de profesionales para la atención médica, sea que se trate de profesionales autónomos o dependientes, tiene como punto en común la prestación de servicios y que, por ello, la Corte ha advertido a los jueces que deben estudiar en forma minuciosa las características de la relación existente entre el profesional médico y la institución hospitalaria a los efectos de dar una correcta solución al litigio.</w:t>
      </w:r>
    </w:p>
    <w:p w14:paraId="3496BD11" w14:textId="6A5259C4" w:rsidR="00EA3A63" w:rsidRPr="000A2EB9" w:rsidRDefault="00EA3A63" w:rsidP="002D5714">
      <w:pPr>
        <w:spacing w:line="360" w:lineRule="auto"/>
        <w:ind w:firstLine="720"/>
        <w:jc w:val="both"/>
        <w:rPr>
          <w:bCs/>
          <w:lang w:val="es-ES"/>
        </w:rPr>
      </w:pPr>
      <w:r w:rsidRPr="000A2EB9">
        <w:rPr>
          <w:bCs/>
          <w:lang w:val="es-ES"/>
        </w:rPr>
        <w:lastRenderedPageBreak/>
        <w:t>En este sentido, el voto concurrente del ministro Lorenzetti agregó que el Tribunal a quo efectuó una valoración meramente parcial de la prueba e ignoró el contexto en que se desenvolvió la prestación; aplicó la legislación laboral a un supuesto de hecho para el que no ha sido prevista y omitió analizarlo debidamente a la luz de la normativa relativa a la locación de servicios regulada por el entonces vigente Código Civil, causando consecuencias jurídicas, económicas y sociales que exceden el caso y que los magistrados no pueden ignorar, ya que repercuten sobre todo el sistema de contrataciones de profesionales. Como se ve, este magistrado mantuvo el enfoque que ya expusiera al votar en “Rica”.</w:t>
      </w:r>
    </w:p>
    <w:p w14:paraId="013D2BC6" w14:textId="39328A3B" w:rsidR="002D5714" w:rsidRPr="000A2EB9" w:rsidRDefault="002D5714" w:rsidP="002D5714">
      <w:pPr>
        <w:spacing w:line="360" w:lineRule="auto"/>
        <w:ind w:firstLine="720"/>
        <w:jc w:val="both"/>
        <w:rPr>
          <w:bCs/>
          <w:lang w:val="es-ES"/>
        </w:rPr>
      </w:pPr>
      <w:r w:rsidRPr="000A2EB9">
        <w:rPr>
          <w:bCs/>
          <w:lang w:val="es-ES"/>
        </w:rPr>
        <w:t>A juicio de l</w:t>
      </w:r>
      <w:r w:rsidR="00EA3A63" w:rsidRPr="000A2EB9">
        <w:rPr>
          <w:bCs/>
          <w:lang w:val="es-ES"/>
        </w:rPr>
        <w:t>os 4 magistrados</w:t>
      </w:r>
      <w:r w:rsidRPr="000A2EB9">
        <w:rPr>
          <w:bCs/>
          <w:lang w:val="es-ES"/>
        </w:rPr>
        <w:t>, la sentencia de la Cámara no cumplió tal exigencia pues ha omitido la consideración de extremos probatorios relevantes a la hora de establecer si la presunción del artículo 23 de la Ley 20744- fue desvirtuada</w:t>
      </w:r>
      <w:r w:rsidR="00835F9E" w:rsidRPr="000A2EB9">
        <w:rPr>
          <w:bCs/>
          <w:lang w:val="es-ES"/>
        </w:rPr>
        <w:t xml:space="preserve"> y, en ese camino, s</w:t>
      </w:r>
      <w:r w:rsidRPr="000A2EB9">
        <w:rPr>
          <w:bCs/>
          <w:lang w:val="es-ES"/>
        </w:rPr>
        <w:t>ostuvo</w:t>
      </w:r>
      <w:r w:rsidR="00835F9E" w:rsidRPr="000A2EB9">
        <w:rPr>
          <w:bCs/>
          <w:lang w:val="es-ES"/>
        </w:rPr>
        <w:t xml:space="preserve"> </w:t>
      </w:r>
      <w:r w:rsidRPr="000A2EB9">
        <w:rPr>
          <w:bCs/>
          <w:lang w:val="es-ES"/>
        </w:rPr>
        <w:t>que el fallo recurrido ignoró varias circunstancias debidamente acreditadas de las que puede inferirse, razonablemente, que la accionante no realizaba dichas prestaciones en favor de la demandada a cambio de una remuneración.</w:t>
      </w:r>
    </w:p>
    <w:p w14:paraId="4009C65E" w14:textId="2A0163B6" w:rsidR="002D5714" w:rsidRPr="000A2EB9" w:rsidRDefault="009A2367" w:rsidP="00835F9E">
      <w:pPr>
        <w:spacing w:line="360" w:lineRule="auto"/>
        <w:ind w:firstLine="720"/>
        <w:jc w:val="both"/>
        <w:rPr>
          <w:bCs/>
          <w:lang w:val="es-ES"/>
        </w:rPr>
      </w:pPr>
      <w:r w:rsidRPr="000A2EB9">
        <w:rPr>
          <w:bCs/>
          <w:lang w:val="es-ES"/>
        </w:rPr>
        <w:t>Expresó el voto</w:t>
      </w:r>
      <w:r w:rsidR="00B37067" w:rsidRPr="000A2EB9">
        <w:rPr>
          <w:bCs/>
          <w:lang w:val="es-ES"/>
        </w:rPr>
        <w:t xml:space="preserve"> de dichos ministros </w:t>
      </w:r>
      <w:r w:rsidRPr="000A2EB9">
        <w:rPr>
          <w:bCs/>
          <w:lang w:val="es-ES"/>
        </w:rPr>
        <w:t>que la prueba producida permit</w:t>
      </w:r>
      <w:r w:rsidR="00835F9E" w:rsidRPr="000A2EB9">
        <w:rPr>
          <w:bCs/>
          <w:lang w:val="es-ES"/>
        </w:rPr>
        <w:t>ió</w:t>
      </w:r>
      <w:r w:rsidRPr="000A2EB9">
        <w:rPr>
          <w:bCs/>
          <w:lang w:val="es-ES"/>
        </w:rPr>
        <w:t xml:space="preserve"> verificar que la demandada percibía una suma variable en concepto de "Derecho de quirófano" en función de la cantidad de veces que la actora requería su uso para intervenir quirúrgicamente en la sede Saavedra del CEMIC a pacientes particulares y afirmó que el pago de ese alquiler constituy</w:t>
      </w:r>
      <w:r w:rsidR="00835F9E" w:rsidRPr="000A2EB9">
        <w:rPr>
          <w:bCs/>
          <w:lang w:val="es-ES"/>
        </w:rPr>
        <w:t>ó</w:t>
      </w:r>
      <w:r w:rsidRPr="000A2EB9">
        <w:rPr>
          <w:bCs/>
          <w:lang w:val="es-ES"/>
        </w:rPr>
        <w:t xml:space="preserve"> una circunstancia que imp</w:t>
      </w:r>
      <w:r w:rsidR="00835F9E" w:rsidRPr="000A2EB9">
        <w:rPr>
          <w:bCs/>
          <w:lang w:val="es-ES"/>
        </w:rPr>
        <w:t>edía</w:t>
      </w:r>
      <w:r w:rsidRPr="000A2EB9">
        <w:rPr>
          <w:bCs/>
          <w:lang w:val="es-ES"/>
        </w:rPr>
        <w:t xml:space="preserve"> concluir, a menos que se brind</w:t>
      </w:r>
      <w:r w:rsidR="00835F9E" w:rsidRPr="000A2EB9">
        <w:rPr>
          <w:bCs/>
          <w:lang w:val="es-ES"/>
        </w:rPr>
        <w:t>as</w:t>
      </w:r>
      <w:r w:rsidRPr="000A2EB9">
        <w:rPr>
          <w:bCs/>
          <w:lang w:val="es-ES"/>
        </w:rPr>
        <w:t xml:space="preserve">e un fundamento adicional que la </w:t>
      </w:r>
      <w:r w:rsidR="00835F9E" w:rsidRPr="000A2EB9">
        <w:rPr>
          <w:bCs/>
          <w:lang w:val="es-ES"/>
        </w:rPr>
        <w:t>C</w:t>
      </w:r>
      <w:r w:rsidRPr="000A2EB9">
        <w:rPr>
          <w:bCs/>
          <w:lang w:val="es-ES"/>
        </w:rPr>
        <w:t>ámara no suministró, que la profesional realizaba las prestaciones en favor de la demandada a cambio de una remuneración y, por ende, que estaba inserta en una organización ajena ya que quien paga un alquiler para prestar servicios lo hace con dinero propio y de ello puede inferirse, razonablemente, que prestará servicios a un tercero, distinto del titular del inmueble, a cambio de dinero para obtener una ganancia. La circunstancia mencionada, apunta</w:t>
      </w:r>
      <w:r w:rsidR="00835F9E" w:rsidRPr="000A2EB9">
        <w:rPr>
          <w:bCs/>
          <w:lang w:val="es-ES"/>
        </w:rPr>
        <w:t>ro</w:t>
      </w:r>
      <w:r w:rsidRPr="000A2EB9">
        <w:rPr>
          <w:bCs/>
          <w:lang w:val="es-ES"/>
        </w:rPr>
        <w:t>n los magistrados que formaron mayoría, no debió ser ignorada por la Cámara a la hora de formarse un juicio acabado sobre si la presunción fue rebatida y, en definitiva, acerca de la verdadera índole jurídica de la prestación.</w:t>
      </w:r>
    </w:p>
    <w:p w14:paraId="7667CFDD" w14:textId="167B453B" w:rsidR="00EA3A63" w:rsidRPr="000A2EB9" w:rsidRDefault="00CE3C48" w:rsidP="00CE3C48">
      <w:pPr>
        <w:spacing w:line="360" w:lineRule="auto"/>
        <w:ind w:firstLine="720"/>
        <w:jc w:val="both"/>
        <w:rPr>
          <w:bCs/>
          <w:lang w:val="es-ES"/>
        </w:rPr>
      </w:pPr>
      <w:r w:rsidRPr="000A2EB9">
        <w:rPr>
          <w:bCs/>
          <w:lang w:val="es-ES"/>
        </w:rPr>
        <w:t>Añadieron dichos jueces que la prueba también permitía verificar que algunos meses la accionante llegaba a facturar hasta en tres ocasiones a la demandada y que en todos los casos los importes facturados difir</w:t>
      </w:r>
      <w:r w:rsidR="00835F9E" w:rsidRPr="000A2EB9">
        <w:rPr>
          <w:bCs/>
          <w:lang w:val="es-ES"/>
        </w:rPr>
        <w:t>i</w:t>
      </w:r>
      <w:r w:rsidRPr="000A2EB9">
        <w:rPr>
          <w:bCs/>
          <w:lang w:val="es-ES"/>
        </w:rPr>
        <w:t>e</w:t>
      </w:r>
      <w:r w:rsidR="00835F9E" w:rsidRPr="000A2EB9">
        <w:rPr>
          <w:bCs/>
          <w:lang w:val="es-ES"/>
        </w:rPr>
        <w:t>ro</w:t>
      </w:r>
      <w:r w:rsidRPr="000A2EB9">
        <w:rPr>
          <w:bCs/>
          <w:lang w:val="es-ES"/>
        </w:rPr>
        <w:t>n</w:t>
      </w:r>
      <w:r w:rsidR="00EA3A63" w:rsidRPr="000A2EB9">
        <w:rPr>
          <w:bCs/>
          <w:lang w:val="es-ES"/>
        </w:rPr>
        <w:t xml:space="preserve">; que </w:t>
      </w:r>
      <w:r w:rsidRPr="000A2EB9">
        <w:rPr>
          <w:bCs/>
          <w:lang w:val="es-ES"/>
        </w:rPr>
        <w:t xml:space="preserve">la numeración de los recibos no era correlativa, así como que estaba registrada ante la AFIP como </w:t>
      </w:r>
      <w:r w:rsidR="00835F9E" w:rsidRPr="000A2EB9">
        <w:rPr>
          <w:bCs/>
          <w:lang w:val="es-ES"/>
        </w:rPr>
        <w:t xml:space="preserve">trabajadora </w:t>
      </w:r>
      <w:r w:rsidRPr="000A2EB9">
        <w:rPr>
          <w:bCs/>
          <w:lang w:val="es-ES"/>
        </w:rPr>
        <w:t>autónoma.</w:t>
      </w:r>
      <w:r w:rsidR="00EA3A63" w:rsidRPr="000A2EB9">
        <w:rPr>
          <w:bCs/>
          <w:lang w:val="es-ES"/>
        </w:rPr>
        <w:t xml:space="preserve"> </w:t>
      </w:r>
    </w:p>
    <w:p w14:paraId="6F3748C2" w14:textId="1845482B" w:rsidR="00CE3C48" w:rsidRPr="000A2EB9" w:rsidRDefault="00CE3C48" w:rsidP="00CE3C48">
      <w:pPr>
        <w:spacing w:line="360" w:lineRule="auto"/>
        <w:ind w:firstLine="720"/>
        <w:jc w:val="both"/>
        <w:rPr>
          <w:bCs/>
          <w:lang w:val="es-ES"/>
        </w:rPr>
      </w:pPr>
      <w:r w:rsidRPr="000A2EB9">
        <w:rPr>
          <w:bCs/>
          <w:lang w:val="es-ES"/>
        </w:rPr>
        <w:t>También en este caso valoraron como datos relevantes que la relación haya transcurrido duran</w:t>
      </w:r>
      <w:r w:rsidR="00B37067" w:rsidRPr="000A2EB9">
        <w:rPr>
          <w:bCs/>
          <w:lang w:val="es-ES"/>
        </w:rPr>
        <w:t>te 23</w:t>
      </w:r>
      <w:r w:rsidRPr="000A2EB9">
        <w:rPr>
          <w:bCs/>
          <w:lang w:val="es-ES"/>
        </w:rPr>
        <w:t xml:space="preserve"> años sin reclamo alguno y la existencia de una práctica profesional independiente y paralela para otras entidades con la consiguiente falta de exclusividad, aclarando que</w:t>
      </w:r>
      <w:r w:rsidR="00EA3A63" w:rsidRPr="000A2EB9">
        <w:rPr>
          <w:bCs/>
          <w:lang w:val="es-ES"/>
        </w:rPr>
        <w:t xml:space="preserve"> estas circunstancias,</w:t>
      </w:r>
      <w:r w:rsidRPr="000A2EB9">
        <w:rPr>
          <w:bCs/>
          <w:lang w:val="es-ES"/>
        </w:rPr>
        <w:t xml:space="preserve"> por sí sola</w:t>
      </w:r>
      <w:r w:rsidR="00EA3A63" w:rsidRPr="000A2EB9">
        <w:rPr>
          <w:bCs/>
          <w:lang w:val="es-ES"/>
        </w:rPr>
        <w:t>s</w:t>
      </w:r>
      <w:r w:rsidRPr="000A2EB9">
        <w:rPr>
          <w:bCs/>
          <w:lang w:val="es-ES"/>
        </w:rPr>
        <w:t xml:space="preserve">, </w:t>
      </w:r>
      <w:r w:rsidR="00EA3A63" w:rsidRPr="000A2EB9">
        <w:rPr>
          <w:bCs/>
          <w:lang w:val="es-ES"/>
        </w:rPr>
        <w:t xml:space="preserve">no son </w:t>
      </w:r>
      <w:r w:rsidRPr="000A2EB9">
        <w:rPr>
          <w:bCs/>
          <w:lang w:val="es-ES"/>
        </w:rPr>
        <w:t>demostrativa</w:t>
      </w:r>
      <w:r w:rsidR="00EA3A63" w:rsidRPr="000A2EB9">
        <w:rPr>
          <w:bCs/>
          <w:lang w:val="es-ES"/>
        </w:rPr>
        <w:t>s</w:t>
      </w:r>
      <w:r w:rsidRPr="000A2EB9">
        <w:rPr>
          <w:bCs/>
          <w:lang w:val="es-ES"/>
        </w:rPr>
        <w:t xml:space="preserve"> de la existencia de una relación autónoma</w:t>
      </w:r>
      <w:r w:rsidR="00EA3A63" w:rsidRPr="000A2EB9">
        <w:rPr>
          <w:bCs/>
          <w:lang w:val="es-ES"/>
        </w:rPr>
        <w:t xml:space="preserve">, pero señalando que </w:t>
      </w:r>
      <w:r w:rsidRPr="000A2EB9">
        <w:rPr>
          <w:bCs/>
          <w:lang w:val="es-ES"/>
        </w:rPr>
        <w:t xml:space="preserve">la </w:t>
      </w:r>
      <w:r w:rsidR="00EA3A63" w:rsidRPr="000A2EB9">
        <w:rPr>
          <w:bCs/>
          <w:lang w:val="es-ES"/>
        </w:rPr>
        <w:t>C</w:t>
      </w:r>
      <w:r w:rsidRPr="000A2EB9">
        <w:rPr>
          <w:bCs/>
          <w:lang w:val="es-ES"/>
        </w:rPr>
        <w:t>ámara debió evaluar</w:t>
      </w:r>
      <w:r w:rsidR="00EA3A63" w:rsidRPr="000A2EB9">
        <w:rPr>
          <w:bCs/>
          <w:lang w:val="es-ES"/>
        </w:rPr>
        <w:t xml:space="preserve">las a </w:t>
      </w:r>
      <w:r w:rsidRPr="000A2EB9">
        <w:rPr>
          <w:bCs/>
          <w:lang w:val="es-ES"/>
        </w:rPr>
        <w:t>la hora de establecer si la presunción fue rebatida.</w:t>
      </w:r>
    </w:p>
    <w:p w14:paraId="5F9806F8" w14:textId="001C49D0" w:rsidR="009A2367" w:rsidRPr="000A2EB9" w:rsidRDefault="00EA3A63" w:rsidP="00CE3C48">
      <w:pPr>
        <w:spacing w:line="360" w:lineRule="auto"/>
        <w:ind w:firstLine="720"/>
        <w:jc w:val="both"/>
        <w:rPr>
          <w:bCs/>
          <w:lang w:val="es-ES"/>
        </w:rPr>
      </w:pPr>
      <w:r w:rsidRPr="000A2EB9">
        <w:rPr>
          <w:bCs/>
          <w:lang w:val="es-ES"/>
        </w:rPr>
        <w:t xml:space="preserve">Añadieron que la sentencia de la Cámara omitió evaluar la existencia de notas elevadas </w:t>
      </w:r>
      <w:r w:rsidR="00CE3C48" w:rsidRPr="000A2EB9">
        <w:rPr>
          <w:bCs/>
          <w:lang w:val="es-ES"/>
        </w:rPr>
        <w:t xml:space="preserve">al jefe de servicio de oftalmología de la demandada comunicando cuándo </w:t>
      </w:r>
      <w:r w:rsidR="00CE3C48" w:rsidRPr="000A2EB9">
        <w:rPr>
          <w:bCs/>
          <w:lang w:val="es-ES"/>
        </w:rPr>
        <w:lastRenderedPageBreak/>
        <w:t xml:space="preserve">cada profesional médico se tomaría su descanso, así como el hecho de que aquel sería quien confeccionaba la grilla con los horarios de atención a pacientes, </w:t>
      </w:r>
      <w:r w:rsidRPr="000A2EB9">
        <w:rPr>
          <w:bCs/>
          <w:lang w:val="es-ES"/>
        </w:rPr>
        <w:t xml:space="preserve">puesto que, a juicio de dichos magistrados, </w:t>
      </w:r>
      <w:r w:rsidR="00CE3C48" w:rsidRPr="000A2EB9">
        <w:rPr>
          <w:bCs/>
          <w:lang w:val="es-ES"/>
        </w:rPr>
        <w:t xml:space="preserve">eran elementos que </w:t>
      </w:r>
      <w:r w:rsidRPr="000A2EB9">
        <w:rPr>
          <w:bCs/>
          <w:lang w:val="es-ES"/>
        </w:rPr>
        <w:t xml:space="preserve">hubieran permitido determinar si </w:t>
      </w:r>
      <w:r w:rsidR="00CE3C48" w:rsidRPr="000A2EB9">
        <w:rPr>
          <w:bCs/>
          <w:lang w:val="es-ES"/>
        </w:rPr>
        <w:t>constituían una genuina manifestación del ejercicio de poder de dirección patronal o si, en cambio, eran consecuencia necesaria de la organización y funcionamiento del sistema médico asistencial en el que la coordinación de horarios responde a razones operativas</w:t>
      </w:r>
      <w:r w:rsidRPr="000A2EB9">
        <w:rPr>
          <w:bCs/>
          <w:lang w:val="es-ES"/>
        </w:rPr>
        <w:t>.</w:t>
      </w:r>
    </w:p>
    <w:p w14:paraId="3D960F52" w14:textId="72DA9026" w:rsidR="00B37067" w:rsidRPr="000A2EB9" w:rsidRDefault="00B37067" w:rsidP="00B37067">
      <w:pPr>
        <w:spacing w:line="360" w:lineRule="auto"/>
        <w:ind w:firstLine="720"/>
        <w:jc w:val="both"/>
        <w:rPr>
          <w:bCs/>
          <w:lang w:val="es-ES"/>
        </w:rPr>
      </w:pPr>
      <w:r w:rsidRPr="000A2EB9">
        <w:rPr>
          <w:bCs/>
          <w:lang w:val="es-ES"/>
        </w:rPr>
        <w:t>El juez Lorenzetti en su voto concurrente añadió, como lo había hecho en “Rica”</w:t>
      </w:r>
      <w:r w:rsidR="00835F9E" w:rsidRPr="000A2EB9">
        <w:rPr>
          <w:bCs/>
          <w:lang w:val="es-ES"/>
        </w:rPr>
        <w:t xml:space="preserve">, </w:t>
      </w:r>
      <w:r w:rsidRPr="000A2EB9">
        <w:rPr>
          <w:bCs/>
          <w:lang w:val="es-ES"/>
        </w:rPr>
        <w:t xml:space="preserve">consideraciones conceptuales diciendo que </w:t>
      </w:r>
      <w:r w:rsidR="00B2314B" w:rsidRPr="000A2EB9">
        <w:rPr>
          <w:bCs/>
          <w:lang w:val="es-ES"/>
        </w:rPr>
        <w:t>l</w:t>
      </w:r>
      <w:r w:rsidRPr="000A2EB9">
        <w:rPr>
          <w:bCs/>
          <w:lang w:val="es-ES"/>
        </w:rPr>
        <w:t xml:space="preserve">a ley argentina disciplina al contrato de trabajo en la </w:t>
      </w:r>
      <w:r w:rsidR="00B2314B" w:rsidRPr="000A2EB9">
        <w:rPr>
          <w:bCs/>
          <w:lang w:val="es-ES"/>
        </w:rPr>
        <w:t>l</w:t>
      </w:r>
      <w:r w:rsidRPr="000A2EB9">
        <w:rPr>
          <w:bCs/>
          <w:lang w:val="es-ES"/>
        </w:rPr>
        <w:t>ey 20</w:t>
      </w:r>
      <w:r w:rsidR="00835F9E" w:rsidRPr="000A2EB9">
        <w:rPr>
          <w:bCs/>
          <w:lang w:val="es-ES"/>
        </w:rPr>
        <w:t>.</w:t>
      </w:r>
      <w:r w:rsidRPr="000A2EB9">
        <w:rPr>
          <w:bCs/>
          <w:lang w:val="es-ES"/>
        </w:rPr>
        <w:t>744</w:t>
      </w:r>
      <w:r w:rsidR="00B2314B" w:rsidRPr="000A2EB9">
        <w:rPr>
          <w:bCs/>
          <w:lang w:val="es-ES"/>
        </w:rPr>
        <w:t xml:space="preserve"> considerando </w:t>
      </w:r>
      <w:r w:rsidRPr="000A2EB9">
        <w:rPr>
          <w:bCs/>
          <w:lang w:val="es-ES"/>
        </w:rPr>
        <w:t xml:space="preserve">el trabajo </w:t>
      </w:r>
      <w:r w:rsidR="00B2314B" w:rsidRPr="000A2EB9">
        <w:rPr>
          <w:bCs/>
          <w:lang w:val="es-ES"/>
        </w:rPr>
        <w:t xml:space="preserve">como </w:t>
      </w:r>
      <w:r w:rsidRPr="000A2EB9">
        <w:rPr>
          <w:bCs/>
          <w:lang w:val="es-ES"/>
        </w:rPr>
        <w:t xml:space="preserve">una actividad que se presta en favor de quien tiene la facultad de dirigirla y </w:t>
      </w:r>
      <w:r w:rsidR="00B2314B" w:rsidRPr="000A2EB9">
        <w:rPr>
          <w:bCs/>
          <w:lang w:val="es-ES"/>
        </w:rPr>
        <w:t xml:space="preserve">cuyo </w:t>
      </w:r>
      <w:r w:rsidRPr="000A2EB9">
        <w:rPr>
          <w:bCs/>
          <w:lang w:val="es-ES"/>
        </w:rPr>
        <w:t xml:space="preserve">objeto </w:t>
      </w:r>
      <w:r w:rsidR="00B2314B" w:rsidRPr="000A2EB9">
        <w:rPr>
          <w:bCs/>
          <w:lang w:val="es-ES"/>
        </w:rPr>
        <w:t xml:space="preserve">consiste en </w:t>
      </w:r>
      <w:r w:rsidRPr="000A2EB9">
        <w:rPr>
          <w:bCs/>
          <w:lang w:val="es-ES"/>
        </w:rPr>
        <w:t>prestar servicios bajo la dependencia de otra persona</w:t>
      </w:r>
      <w:r w:rsidR="00B2314B" w:rsidRPr="000A2EB9">
        <w:rPr>
          <w:bCs/>
          <w:lang w:val="es-ES"/>
        </w:rPr>
        <w:t xml:space="preserve">; así como que, a </w:t>
      </w:r>
      <w:r w:rsidRPr="000A2EB9">
        <w:rPr>
          <w:bCs/>
          <w:lang w:val="es-ES"/>
        </w:rPr>
        <w:t>los fines de tipificar un vínculo como laboral</w:t>
      </w:r>
      <w:r w:rsidR="00B2314B" w:rsidRPr="000A2EB9">
        <w:rPr>
          <w:bCs/>
          <w:lang w:val="es-ES"/>
        </w:rPr>
        <w:t>,</w:t>
      </w:r>
      <w:r w:rsidRPr="000A2EB9">
        <w:rPr>
          <w:bCs/>
          <w:lang w:val="es-ES"/>
        </w:rPr>
        <w:t xml:space="preserve"> es necesario precisar el concepto de dependencia, admitiéndose que esta presenta tres aspectos: jurídic</w:t>
      </w:r>
      <w:r w:rsidR="00835F9E" w:rsidRPr="000A2EB9">
        <w:rPr>
          <w:bCs/>
          <w:lang w:val="es-ES"/>
        </w:rPr>
        <w:t>o</w:t>
      </w:r>
      <w:r w:rsidRPr="000A2EB9">
        <w:rPr>
          <w:bCs/>
          <w:lang w:val="es-ES"/>
        </w:rPr>
        <w:t>, económic</w:t>
      </w:r>
      <w:r w:rsidR="00835F9E" w:rsidRPr="000A2EB9">
        <w:rPr>
          <w:bCs/>
          <w:lang w:val="es-ES"/>
        </w:rPr>
        <w:t>o</w:t>
      </w:r>
      <w:r w:rsidRPr="000A2EB9">
        <w:rPr>
          <w:bCs/>
          <w:lang w:val="es-ES"/>
        </w:rPr>
        <w:t xml:space="preserve"> y técnic</w:t>
      </w:r>
      <w:r w:rsidR="00835F9E" w:rsidRPr="000A2EB9">
        <w:rPr>
          <w:bCs/>
          <w:lang w:val="es-ES"/>
        </w:rPr>
        <w:t>o</w:t>
      </w:r>
      <w:r w:rsidRPr="000A2EB9">
        <w:rPr>
          <w:bCs/>
          <w:lang w:val="es-ES"/>
        </w:rPr>
        <w:t>.</w:t>
      </w:r>
    </w:p>
    <w:p w14:paraId="68A2FECB" w14:textId="77777777" w:rsidR="00B2314B" w:rsidRPr="000A2EB9" w:rsidRDefault="00B37067" w:rsidP="00B37067">
      <w:pPr>
        <w:spacing w:line="360" w:lineRule="auto"/>
        <w:ind w:firstLine="720"/>
        <w:jc w:val="both"/>
        <w:rPr>
          <w:bCs/>
          <w:lang w:val="es-ES"/>
        </w:rPr>
      </w:pPr>
      <w:r w:rsidRPr="000A2EB9">
        <w:rPr>
          <w:bCs/>
          <w:lang w:val="es-ES"/>
        </w:rPr>
        <w:t>En el contrato laboral</w:t>
      </w:r>
      <w:r w:rsidR="00B2314B" w:rsidRPr="000A2EB9">
        <w:rPr>
          <w:bCs/>
          <w:lang w:val="es-ES"/>
        </w:rPr>
        <w:t>, siguió diciendo el juez Lorenzetti,</w:t>
      </w:r>
      <w:r w:rsidRPr="000A2EB9">
        <w:rPr>
          <w:bCs/>
          <w:lang w:val="es-ES"/>
        </w:rPr>
        <w:t xml:space="preserve"> se trabaja por cuenta ajena, porque el beneficio que genera la actividad va al empresario y no al trabajador</w:t>
      </w:r>
      <w:r w:rsidR="00B2314B" w:rsidRPr="000A2EB9">
        <w:rPr>
          <w:bCs/>
          <w:lang w:val="es-ES"/>
        </w:rPr>
        <w:t xml:space="preserve">, siguiéndose </w:t>
      </w:r>
      <w:r w:rsidRPr="000A2EB9">
        <w:rPr>
          <w:bCs/>
          <w:lang w:val="es-ES"/>
        </w:rPr>
        <w:t>de ello la ajenidad de riesgos que son asumidos por el patrono, al contrario de la locación</w:t>
      </w:r>
      <w:r w:rsidR="00B2314B" w:rsidRPr="000A2EB9">
        <w:rPr>
          <w:bCs/>
          <w:lang w:val="es-ES"/>
        </w:rPr>
        <w:t>. También apuntó que e</w:t>
      </w:r>
      <w:r w:rsidRPr="000A2EB9">
        <w:rPr>
          <w:bCs/>
          <w:lang w:val="es-ES"/>
        </w:rPr>
        <w:t>l trabajador percibe una retribución, con independencia de que el empleador gane o pierda en su actividad</w:t>
      </w:r>
      <w:r w:rsidR="00B2314B" w:rsidRPr="000A2EB9">
        <w:rPr>
          <w:bCs/>
          <w:lang w:val="es-ES"/>
        </w:rPr>
        <w:t xml:space="preserve"> y que a</w:t>
      </w:r>
      <w:r w:rsidRPr="000A2EB9">
        <w:rPr>
          <w:bCs/>
          <w:lang w:val="es-ES"/>
        </w:rPr>
        <w:t>quel depende de ese ingreso para su subsistencia</w:t>
      </w:r>
      <w:r w:rsidR="00B2314B" w:rsidRPr="000A2EB9">
        <w:rPr>
          <w:bCs/>
          <w:lang w:val="es-ES"/>
        </w:rPr>
        <w:t xml:space="preserve">, por lo que, </w:t>
      </w:r>
      <w:r w:rsidRPr="000A2EB9">
        <w:rPr>
          <w:bCs/>
          <w:lang w:val="es-ES"/>
        </w:rPr>
        <w:t xml:space="preserve">aunque hay una gran variedad de remuneraciones que es posible pactar entre empleado y empleador (fija, variable, etc.), lo importante es la función económica de la prestación dineraria. </w:t>
      </w:r>
    </w:p>
    <w:p w14:paraId="40D69B5A" w14:textId="57BF45CB" w:rsidR="00B37067" w:rsidRPr="000A2EB9" w:rsidRDefault="00B2314B" w:rsidP="00B2314B">
      <w:pPr>
        <w:spacing w:line="360" w:lineRule="auto"/>
        <w:jc w:val="both"/>
        <w:rPr>
          <w:bCs/>
          <w:lang w:val="es-ES"/>
        </w:rPr>
      </w:pPr>
      <w:r w:rsidRPr="000A2EB9">
        <w:rPr>
          <w:bCs/>
          <w:lang w:val="es-ES"/>
        </w:rPr>
        <w:t xml:space="preserve"> </w:t>
      </w:r>
      <w:r w:rsidRPr="000A2EB9">
        <w:rPr>
          <w:bCs/>
          <w:lang w:val="es-ES"/>
        </w:rPr>
        <w:tab/>
        <w:t>Continúo diciendo que e</w:t>
      </w:r>
      <w:r w:rsidR="00B37067" w:rsidRPr="000A2EB9">
        <w:rPr>
          <w:bCs/>
          <w:lang w:val="es-ES"/>
        </w:rPr>
        <w:t>n el contrato laboral la obligación dineraria tiene una función retributiva, a la que la ley, además, le atribuye como mínimo la finalidad de asegurar alimentación adecuada, vivienda digna, educación, vestuario, asistencia sanitaria, transporte y esparcimiento, vacaciones y previsión</w:t>
      </w:r>
      <w:r w:rsidRPr="000A2EB9">
        <w:rPr>
          <w:bCs/>
          <w:lang w:val="es-ES"/>
        </w:rPr>
        <w:t>.</w:t>
      </w:r>
    </w:p>
    <w:p w14:paraId="04129F05" w14:textId="79C1A7A4" w:rsidR="00B37067" w:rsidRPr="000A2EB9" w:rsidRDefault="00B2314B" w:rsidP="00B37067">
      <w:pPr>
        <w:spacing w:line="360" w:lineRule="auto"/>
        <w:ind w:firstLine="720"/>
        <w:jc w:val="both"/>
        <w:rPr>
          <w:bCs/>
          <w:lang w:val="es-ES"/>
        </w:rPr>
      </w:pPr>
      <w:r w:rsidRPr="000A2EB9">
        <w:rPr>
          <w:bCs/>
          <w:lang w:val="es-ES"/>
        </w:rPr>
        <w:t>Y concluyó ese análisis afirmando que, e</w:t>
      </w:r>
      <w:r w:rsidR="00B37067" w:rsidRPr="000A2EB9">
        <w:rPr>
          <w:bCs/>
          <w:lang w:val="es-ES"/>
        </w:rPr>
        <w:t xml:space="preserve">n ese marco, los hechos objetivos y constancias existentes en el expediente </w:t>
      </w:r>
      <w:r w:rsidR="003E3F4C" w:rsidRPr="000A2EB9">
        <w:rPr>
          <w:bCs/>
          <w:lang w:val="es-ES"/>
        </w:rPr>
        <w:t xml:space="preserve">que habían sido </w:t>
      </w:r>
      <w:r w:rsidR="00B37067" w:rsidRPr="000A2EB9">
        <w:rPr>
          <w:bCs/>
          <w:lang w:val="es-ES"/>
        </w:rPr>
        <w:t>detallados en el considerando anterior, analizados en su conjunto, no resultan compatibles con el desempeño de una relación de carácter laboral</w:t>
      </w:r>
      <w:r w:rsidRPr="000A2EB9">
        <w:rPr>
          <w:bCs/>
          <w:lang w:val="es-ES"/>
        </w:rPr>
        <w:t xml:space="preserve"> y que,</w:t>
      </w:r>
      <w:r w:rsidR="00B37067" w:rsidRPr="000A2EB9">
        <w:rPr>
          <w:bCs/>
          <w:lang w:val="es-ES"/>
        </w:rPr>
        <w:t xml:space="preserve"> por el contrario, se observan acordes al desarrollo de una vinculación en la que la actora asumió el riesgo económico propio de la autoorganización de su actividad profesional.</w:t>
      </w:r>
    </w:p>
    <w:p w14:paraId="217E81EF" w14:textId="77777777" w:rsidR="003E3F4C" w:rsidRPr="000A2EB9" w:rsidRDefault="00B2314B" w:rsidP="003E3F4C">
      <w:pPr>
        <w:spacing w:line="360" w:lineRule="auto"/>
        <w:ind w:firstLine="720"/>
        <w:jc w:val="both"/>
        <w:rPr>
          <w:bCs/>
          <w:lang w:val="es-ES"/>
        </w:rPr>
      </w:pPr>
      <w:r w:rsidRPr="000A2EB9">
        <w:rPr>
          <w:bCs/>
          <w:lang w:val="es-ES"/>
        </w:rPr>
        <w:t xml:space="preserve">El voto concurrente también examinó el aspecto del control de la actividad desempeñada, indicando que la sentencia recurrida calificó como jurídicamente subordinada una relación que no es dependiente en ese sentido, confundiéndola con el control de la prestación, el cual está presente en una serie de contratos de colaboración, porque quien no puede hacer algo por sí mismo, lo delega en otro y lo controla. </w:t>
      </w:r>
    </w:p>
    <w:p w14:paraId="64AD0FB2" w14:textId="3D131E4F" w:rsidR="00B2314B" w:rsidRPr="000A2EB9" w:rsidRDefault="00B2314B" w:rsidP="003E3F4C">
      <w:pPr>
        <w:spacing w:line="360" w:lineRule="auto"/>
        <w:ind w:firstLine="720"/>
        <w:jc w:val="both"/>
        <w:rPr>
          <w:bCs/>
          <w:lang w:val="es-ES"/>
        </w:rPr>
      </w:pPr>
      <w:r w:rsidRPr="000A2EB9">
        <w:rPr>
          <w:bCs/>
          <w:lang w:val="es-ES"/>
        </w:rPr>
        <w:t xml:space="preserve">En ese sentido, el juez Lorenzetti </w:t>
      </w:r>
      <w:r w:rsidR="003E3F4C" w:rsidRPr="000A2EB9">
        <w:rPr>
          <w:bCs/>
          <w:lang w:val="es-ES"/>
        </w:rPr>
        <w:t xml:space="preserve">reiteró lo que había expuesto </w:t>
      </w:r>
      <w:r w:rsidR="00FE350A" w:rsidRPr="000A2EB9">
        <w:rPr>
          <w:bCs/>
          <w:lang w:val="es-ES"/>
        </w:rPr>
        <w:t>al votar en “Rica”</w:t>
      </w:r>
      <w:r w:rsidR="003E3F4C" w:rsidRPr="000A2EB9">
        <w:rPr>
          <w:bCs/>
          <w:lang w:val="es-ES"/>
        </w:rPr>
        <w:t xml:space="preserve"> así como </w:t>
      </w:r>
      <w:r w:rsidR="00FE350A" w:rsidRPr="000A2EB9">
        <w:rPr>
          <w:bCs/>
          <w:lang w:val="es-ES"/>
        </w:rPr>
        <w:t xml:space="preserve">volvió a hacer alusión a la Teoría Económica del Derecho al reprochar al Tribunal a quo haber ignorado el contexto en que se desenvolvió la prestación, aplicando la legislación laboral a un supuesto de hecho para el que no ha sido prevista y sin analizarlo debidamente a la luz de la normativa relativa a la locación de servicios </w:t>
      </w:r>
      <w:r w:rsidR="00FE350A" w:rsidRPr="000A2EB9">
        <w:rPr>
          <w:bCs/>
          <w:lang w:val="es-ES"/>
        </w:rPr>
        <w:lastRenderedPageBreak/>
        <w:t>regulada por el entonces vigente Código Civil, “</w:t>
      </w:r>
      <w:r w:rsidR="00FE350A" w:rsidRPr="000A2EB9">
        <w:rPr>
          <w:bCs/>
          <w:i/>
          <w:iCs/>
          <w:lang w:val="es-ES"/>
        </w:rPr>
        <w:t>causando consecuencias jurídicas, económicas y sociales que exceden el caso y que los magistrados no pueden ignorar, ya que repercuten sobre todo el sistema de contrataciones de profesionales”.</w:t>
      </w:r>
    </w:p>
    <w:p w14:paraId="37D5E159" w14:textId="6152354B" w:rsidR="0027141F" w:rsidRPr="000A2EB9" w:rsidRDefault="008A4D9E" w:rsidP="0027141F">
      <w:pPr>
        <w:spacing w:line="360" w:lineRule="auto"/>
        <w:jc w:val="both"/>
        <w:rPr>
          <w:bCs/>
          <w:lang w:val="es-ES"/>
        </w:rPr>
      </w:pPr>
      <w:r w:rsidRPr="000A2EB9">
        <w:rPr>
          <w:bCs/>
          <w:lang w:val="es-ES"/>
        </w:rPr>
        <w:tab/>
        <w:t>Como anticipé, los jueces Rosatti y Maqueda votaron en disidencia, proponiendo desestimar los recursos extraordinarios en los términos del ya mencionado art. 280 CPCCN.</w:t>
      </w:r>
    </w:p>
    <w:p w14:paraId="5B51D739" w14:textId="7352DA7D" w:rsidR="00C27AF1" w:rsidRPr="000A2EB9" w:rsidRDefault="008A4D9E" w:rsidP="008A4D9E">
      <w:pPr>
        <w:spacing w:line="360" w:lineRule="auto"/>
        <w:jc w:val="both"/>
        <w:rPr>
          <w:bCs/>
          <w:lang w:val="es-ES"/>
        </w:rPr>
      </w:pPr>
      <w:r w:rsidRPr="000A2EB9">
        <w:rPr>
          <w:bCs/>
          <w:lang w:val="es-ES"/>
        </w:rPr>
        <w:tab/>
        <w:t xml:space="preserve">La Corte Suprema se volvió a ocupar de esta temática tan particular en la causa </w:t>
      </w:r>
      <w:r w:rsidR="002C7122" w:rsidRPr="000A2EB9">
        <w:rPr>
          <w:b/>
          <w:lang w:val="es-ES"/>
        </w:rPr>
        <w:t>“Morón, Humberto c/ Grupo Asegurador La Segunda SA y otro”</w:t>
      </w:r>
      <w:r w:rsidR="002C7122" w:rsidRPr="000A2EB9">
        <w:rPr>
          <w:bCs/>
          <w:lang w:val="es-ES"/>
        </w:rPr>
        <w:t xml:space="preserve">, </w:t>
      </w:r>
      <w:r w:rsidRPr="000A2EB9">
        <w:rPr>
          <w:bCs/>
          <w:lang w:val="es-ES"/>
        </w:rPr>
        <w:t xml:space="preserve">sentencia </w:t>
      </w:r>
      <w:r w:rsidR="002C7122" w:rsidRPr="000A2EB9">
        <w:rPr>
          <w:bCs/>
          <w:lang w:val="es-ES"/>
        </w:rPr>
        <w:t>de fecha 22/10/2019</w:t>
      </w:r>
      <w:r w:rsidRPr="000A2EB9">
        <w:rPr>
          <w:bCs/>
          <w:lang w:val="es-ES"/>
        </w:rPr>
        <w:t>, pero la disputa judicial no versó en este caso de profesionales de la medicina, como en la s</w:t>
      </w:r>
      <w:r w:rsidR="003E3F4C" w:rsidRPr="000A2EB9">
        <w:rPr>
          <w:bCs/>
          <w:lang w:val="es-ES"/>
        </w:rPr>
        <w:t>erie</w:t>
      </w:r>
      <w:r w:rsidRPr="000A2EB9">
        <w:rPr>
          <w:bCs/>
          <w:lang w:val="es-ES"/>
        </w:rPr>
        <w:t xml:space="preserve"> hasta aquí reseñada, sino que se trató de un supuesto de prestación de servicios de un productor de seguros en relación a una empresa aseguradora.</w:t>
      </w:r>
    </w:p>
    <w:p w14:paraId="20234694" w14:textId="43D2916F" w:rsidR="00E82018" w:rsidRPr="000A2EB9" w:rsidRDefault="00E82018" w:rsidP="00E82018">
      <w:pPr>
        <w:spacing w:line="360" w:lineRule="auto"/>
        <w:jc w:val="both"/>
        <w:rPr>
          <w:bCs/>
          <w:lang w:val="es-ES"/>
        </w:rPr>
      </w:pPr>
      <w:r w:rsidRPr="000A2EB9">
        <w:rPr>
          <w:bCs/>
          <w:lang w:val="es-ES"/>
        </w:rPr>
        <w:tab/>
        <w:t xml:space="preserve">En esta causa la Suprema Corte de Justicia de la Provincia de Mendoza </w:t>
      </w:r>
      <w:r w:rsidR="00177F6D" w:rsidRPr="000A2EB9">
        <w:rPr>
          <w:bCs/>
          <w:lang w:val="es-ES"/>
        </w:rPr>
        <w:t xml:space="preserve">había </w:t>
      </w:r>
      <w:r w:rsidRPr="000A2EB9">
        <w:rPr>
          <w:bCs/>
          <w:lang w:val="es-ES"/>
        </w:rPr>
        <w:t>revoc</w:t>
      </w:r>
      <w:r w:rsidR="00177F6D" w:rsidRPr="000A2EB9">
        <w:rPr>
          <w:bCs/>
          <w:lang w:val="es-ES"/>
        </w:rPr>
        <w:t>ado</w:t>
      </w:r>
      <w:r w:rsidRPr="000A2EB9">
        <w:rPr>
          <w:bCs/>
          <w:lang w:val="es-ES"/>
        </w:rPr>
        <w:t xml:space="preserve"> la sentencia dictada por la Cámara Séptima del Trabajo de la Primera Circunscripción Judicial de esa provincia, </w:t>
      </w:r>
      <w:r w:rsidR="00177F6D" w:rsidRPr="000A2EB9">
        <w:rPr>
          <w:bCs/>
          <w:lang w:val="es-ES"/>
        </w:rPr>
        <w:t>aseverando</w:t>
      </w:r>
      <w:r w:rsidRPr="000A2EB9">
        <w:rPr>
          <w:bCs/>
          <w:lang w:val="es-ES"/>
        </w:rPr>
        <w:t xml:space="preserve"> que las labores realizadas por el actor entre 1971 y 2011 como “productor asesor organizador de seguros” tuvieron por marco un contrato de trabajo.</w:t>
      </w:r>
    </w:p>
    <w:p w14:paraId="2FEF80E4" w14:textId="0E01785F" w:rsidR="008A4D9E" w:rsidRPr="000A2EB9" w:rsidRDefault="00E82018" w:rsidP="00E82018">
      <w:pPr>
        <w:spacing w:line="360" w:lineRule="auto"/>
        <w:jc w:val="both"/>
        <w:rPr>
          <w:bCs/>
          <w:lang w:val="es-ES"/>
        </w:rPr>
      </w:pPr>
      <w:r w:rsidRPr="000A2EB9">
        <w:rPr>
          <w:bCs/>
          <w:lang w:val="es-ES"/>
        </w:rPr>
        <w:tab/>
        <w:t xml:space="preserve">Una vez más la Corte Suprema </w:t>
      </w:r>
      <w:r w:rsidR="00177F6D" w:rsidRPr="000A2EB9">
        <w:rPr>
          <w:bCs/>
          <w:lang w:val="es-ES"/>
        </w:rPr>
        <w:t>a</w:t>
      </w:r>
      <w:r w:rsidRPr="000A2EB9">
        <w:rPr>
          <w:bCs/>
          <w:lang w:val="es-ES"/>
        </w:rPr>
        <w:t>rgentina inició la revisión puntualizando que los agravios del recurso extraordinario remit</w:t>
      </w:r>
      <w:r w:rsidR="00177F6D" w:rsidRPr="000A2EB9">
        <w:rPr>
          <w:bCs/>
          <w:lang w:val="es-ES"/>
        </w:rPr>
        <w:t>ía</w:t>
      </w:r>
      <w:r w:rsidRPr="000A2EB9">
        <w:rPr>
          <w:bCs/>
          <w:lang w:val="es-ES"/>
        </w:rPr>
        <w:t xml:space="preserve">n al examen de cuestiones de hecho, prueba y derecho común, cuestión regularmente ajena a la instancia extraordinaria, </w:t>
      </w:r>
      <w:r w:rsidR="00177F6D" w:rsidRPr="000A2EB9">
        <w:rPr>
          <w:bCs/>
          <w:lang w:val="es-ES"/>
        </w:rPr>
        <w:t xml:space="preserve">pero </w:t>
      </w:r>
      <w:r w:rsidRPr="000A2EB9">
        <w:rPr>
          <w:bCs/>
          <w:lang w:val="es-ES"/>
        </w:rPr>
        <w:t>considerando que correspondía hacer excepción a ese principio.</w:t>
      </w:r>
    </w:p>
    <w:p w14:paraId="1E73C89F" w14:textId="48BE183B" w:rsidR="00E82018" w:rsidRPr="000A2EB9" w:rsidRDefault="00E82018" w:rsidP="00E82018">
      <w:pPr>
        <w:spacing w:line="360" w:lineRule="auto"/>
        <w:jc w:val="both"/>
        <w:rPr>
          <w:bCs/>
          <w:lang w:val="es-ES"/>
        </w:rPr>
      </w:pPr>
      <w:r w:rsidRPr="000A2EB9">
        <w:rPr>
          <w:bCs/>
          <w:lang w:val="es-ES"/>
        </w:rPr>
        <w:tab/>
        <w:t>El voto conjunto de los jueces Rosenkrantz, Maqueda, Lorenzetti y Highton le reproch</w:t>
      </w:r>
      <w:r w:rsidR="00177F6D" w:rsidRPr="000A2EB9">
        <w:rPr>
          <w:bCs/>
          <w:lang w:val="es-ES"/>
        </w:rPr>
        <w:t>ó</w:t>
      </w:r>
      <w:r w:rsidRPr="000A2EB9">
        <w:rPr>
          <w:bCs/>
          <w:lang w:val="es-ES"/>
        </w:rPr>
        <w:t xml:space="preserve"> al Superior Tribunal </w:t>
      </w:r>
      <w:r w:rsidR="00177F6D" w:rsidRPr="000A2EB9">
        <w:rPr>
          <w:bCs/>
          <w:lang w:val="es-ES"/>
        </w:rPr>
        <w:t xml:space="preserve">provincial </w:t>
      </w:r>
      <w:r w:rsidRPr="000A2EB9">
        <w:rPr>
          <w:bCs/>
          <w:lang w:val="es-ES"/>
        </w:rPr>
        <w:t xml:space="preserve">interviniente haber impuesto su propio criterio valorativo de la prueba y de los hechos por encima de la valoración que hiciera el Tribunal del Trabajo de grado, y haber enfatizado cuestiones secundarias u opinables -que pueden presentarse tanto en una contratación índole comercial como en una de naturaleza laboral-, a la par que, sin dar fundamentos válidos, subestimó otras relevantes para la correcta solución del caso y que daban cuenta del alto grado de independencia con que el actor cumplía sus funciones. </w:t>
      </w:r>
    </w:p>
    <w:p w14:paraId="1628ABCA" w14:textId="64A86BF1" w:rsidR="00D46B19" w:rsidRPr="000A2EB9" w:rsidRDefault="00E82018" w:rsidP="00D46B19">
      <w:pPr>
        <w:spacing w:line="360" w:lineRule="auto"/>
        <w:ind w:firstLine="720"/>
        <w:jc w:val="both"/>
        <w:rPr>
          <w:bCs/>
          <w:lang w:val="es-ES"/>
        </w:rPr>
      </w:pPr>
      <w:r w:rsidRPr="000A2EB9">
        <w:rPr>
          <w:bCs/>
          <w:lang w:val="es-ES"/>
        </w:rPr>
        <w:t>Nuevamente la Corte Federal se expidió sobre los alcances de la existencia de directivas</w:t>
      </w:r>
      <w:r w:rsidR="00D46B19" w:rsidRPr="000A2EB9">
        <w:rPr>
          <w:bCs/>
          <w:lang w:val="es-ES"/>
        </w:rPr>
        <w:t xml:space="preserve">, señalando que la circunstancia </w:t>
      </w:r>
      <w:r w:rsidRPr="000A2EB9">
        <w:rPr>
          <w:bCs/>
          <w:lang w:val="es-ES"/>
        </w:rPr>
        <w:t xml:space="preserve">de que un productor asesor de seguros </w:t>
      </w:r>
      <w:r w:rsidR="00D46B19" w:rsidRPr="000A2EB9">
        <w:rPr>
          <w:bCs/>
          <w:lang w:val="es-ES"/>
        </w:rPr>
        <w:t>t</w:t>
      </w:r>
      <w:r w:rsidRPr="000A2EB9">
        <w:rPr>
          <w:bCs/>
          <w:lang w:val="es-ES"/>
        </w:rPr>
        <w:t>uviera que respetar ciertas directivas emanadas de la compañía de seguros no resulta</w:t>
      </w:r>
      <w:r w:rsidR="00177F6D" w:rsidRPr="000A2EB9">
        <w:rPr>
          <w:bCs/>
          <w:lang w:val="es-ES"/>
        </w:rPr>
        <w:t>ba</w:t>
      </w:r>
      <w:r w:rsidRPr="000A2EB9">
        <w:rPr>
          <w:bCs/>
          <w:lang w:val="es-ES"/>
        </w:rPr>
        <w:t xml:space="preserve"> indicativ</w:t>
      </w:r>
      <w:r w:rsidR="00D46B19" w:rsidRPr="000A2EB9">
        <w:rPr>
          <w:bCs/>
          <w:lang w:val="es-ES"/>
        </w:rPr>
        <w:t>a</w:t>
      </w:r>
      <w:r w:rsidRPr="000A2EB9">
        <w:rPr>
          <w:bCs/>
          <w:lang w:val="es-ES"/>
        </w:rPr>
        <w:t xml:space="preserve"> de un vínculo de subordinación laboral, debido a que ciertas exigencias responden al orden propio de toda organización empresarial y pueden estar presentes tanto en el contrato de trabajo como en una relación de carácter </w:t>
      </w:r>
      <w:r w:rsidR="00D46B19" w:rsidRPr="000A2EB9">
        <w:rPr>
          <w:bCs/>
          <w:lang w:val="es-ES"/>
        </w:rPr>
        <w:t xml:space="preserve">comercial. Al respecto, el Alto Tribunal hizo gala </w:t>
      </w:r>
      <w:r w:rsidR="00177F6D" w:rsidRPr="000A2EB9">
        <w:rPr>
          <w:bCs/>
          <w:lang w:val="es-ES"/>
        </w:rPr>
        <w:t xml:space="preserve">en el caso concreto resuelto </w:t>
      </w:r>
      <w:r w:rsidR="00D46B19" w:rsidRPr="000A2EB9">
        <w:rPr>
          <w:bCs/>
          <w:lang w:val="es-ES"/>
        </w:rPr>
        <w:t>de que, además, esas directivas fueron dadas con un carácter singularmente coloquial, lo cual no condice con la modalidad que normalmente caracteriza la comunicación en el plano laboral entre un superior jerárquico y su subordinado (</w:t>
      </w:r>
      <w:r w:rsidR="00D46B19" w:rsidRPr="000A2EB9">
        <w:rPr>
          <w:rStyle w:val="Refdenotaalpie"/>
          <w:bCs/>
          <w:lang w:val="es-ES"/>
        </w:rPr>
        <w:footnoteReference w:id="53"/>
      </w:r>
      <w:r w:rsidR="00D46B19" w:rsidRPr="000A2EB9">
        <w:rPr>
          <w:bCs/>
          <w:lang w:val="es-ES"/>
        </w:rPr>
        <w:t>).</w:t>
      </w:r>
    </w:p>
    <w:p w14:paraId="623170E2" w14:textId="45182933" w:rsidR="00D46B19" w:rsidRPr="000A2EB9" w:rsidRDefault="00D46B19" w:rsidP="00D46B19">
      <w:pPr>
        <w:spacing w:line="360" w:lineRule="auto"/>
        <w:ind w:firstLine="720"/>
        <w:jc w:val="both"/>
        <w:rPr>
          <w:bCs/>
          <w:lang w:val="es-ES"/>
        </w:rPr>
      </w:pPr>
      <w:r w:rsidRPr="000A2EB9">
        <w:rPr>
          <w:bCs/>
          <w:lang w:val="es-ES"/>
        </w:rPr>
        <w:lastRenderedPageBreak/>
        <w:t>Asimismo, la Corte Suprema le endilg</w:t>
      </w:r>
      <w:r w:rsidR="00177F6D" w:rsidRPr="000A2EB9">
        <w:rPr>
          <w:bCs/>
          <w:lang w:val="es-ES"/>
        </w:rPr>
        <w:t>ó</w:t>
      </w:r>
      <w:r w:rsidRPr="000A2EB9">
        <w:rPr>
          <w:bCs/>
          <w:lang w:val="es-ES"/>
        </w:rPr>
        <w:t xml:space="preserve"> al Superior Tribunal provincial haber sobrevalorado hechos tales como el reintegro de gastos de oficina, la atribución frente a terceros de la calidad de gerente regional del grupo, la actuación en juicios contra las demandadas y el otorgamiento de mandatos especiales para actuaciones concretas como la participación en licitaciones públicas para contratación de seguros; así como le reproch</w:t>
      </w:r>
      <w:r w:rsidR="00177F6D" w:rsidRPr="000A2EB9">
        <w:rPr>
          <w:bCs/>
          <w:lang w:val="es-ES"/>
        </w:rPr>
        <w:t>ó</w:t>
      </w:r>
      <w:r w:rsidRPr="000A2EB9">
        <w:rPr>
          <w:bCs/>
          <w:lang w:val="es-ES"/>
        </w:rPr>
        <w:t xml:space="preserve"> el énfasis puesto en la asunción del riesgo económico de la actividad por parte de las compañías de seguros </w:t>
      </w:r>
      <w:r w:rsidR="00177F6D" w:rsidRPr="000A2EB9">
        <w:rPr>
          <w:bCs/>
          <w:lang w:val="es-ES"/>
        </w:rPr>
        <w:t xml:space="preserve">aduciendo que </w:t>
      </w:r>
      <w:r w:rsidRPr="000A2EB9">
        <w:rPr>
          <w:bCs/>
          <w:lang w:val="es-ES"/>
        </w:rPr>
        <w:t xml:space="preserve">se desvanece como argumento frente al hecho de que el actor solo cobraba comisiones si las compañías efectivamente percibían las primas por parte de los clientes o asegurados. </w:t>
      </w:r>
    </w:p>
    <w:p w14:paraId="2A566488" w14:textId="77777777" w:rsidR="00D46B19" w:rsidRPr="000A2EB9" w:rsidRDefault="00D46B19" w:rsidP="00D46B19">
      <w:pPr>
        <w:spacing w:line="360" w:lineRule="auto"/>
        <w:ind w:firstLine="720"/>
        <w:jc w:val="both"/>
        <w:rPr>
          <w:bCs/>
          <w:lang w:val="es-ES"/>
        </w:rPr>
      </w:pPr>
      <w:r w:rsidRPr="000A2EB9">
        <w:rPr>
          <w:bCs/>
          <w:lang w:val="es-ES"/>
        </w:rPr>
        <w:t xml:space="preserve">Además, el Máximo Tribunal entendió que la facturación exclusiva del demandante en favor de las codemandadas pierde la entidad que se le intentó atribuir como indicador de un fraude laboral ante la circunstancia de su inscripción a título personal en todos los impuestos, tanto nacionales (IVA, ganancias y bienes personales) como provinciales (ingresos brutos), a lo que se suma la inscripción del Sr. Morón como empleador, llevando él mismo el art. 52 de la LCT debidamente rubricado. </w:t>
      </w:r>
    </w:p>
    <w:p w14:paraId="5E25A94E" w14:textId="4B871F76" w:rsidR="00D46B19" w:rsidRPr="000A2EB9" w:rsidRDefault="00D46B19" w:rsidP="00D46B19">
      <w:pPr>
        <w:spacing w:line="360" w:lineRule="auto"/>
        <w:ind w:firstLine="720"/>
        <w:jc w:val="both"/>
        <w:rPr>
          <w:bCs/>
          <w:lang w:val="es-ES"/>
        </w:rPr>
      </w:pPr>
      <w:r w:rsidRPr="000A2EB9">
        <w:rPr>
          <w:bCs/>
          <w:lang w:val="es-ES"/>
        </w:rPr>
        <w:t>Igualmente el fallo bajo comentario opinó que el Tribunal provincial sobrevaloró la significancia de las facturas por comisiones anuales complementarias que, a juicio de la Corte Suprema, bien pudieron responder a una forma de retribución por servicios que no necesariamente hay que asimilar a una remuneración diferida como lo es el sueldo anual complementario de un empleado en relación de dependencia.</w:t>
      </w:r>
    </w:p>
    <w:p w14:paraId="0F6B4729" w14:textId="341654C7" w:rsidR="000F4AE1" w:rsidRPr="000A2EB9" w:rsidRDefault="00D46B19" w:rsidP="00D46B19">
      <w:pPr>
        <w:spacing w:line="360" w:lineRule="auto"/>
        <w:ind w:firstLine="720"/>
        <w:jc w:val="both"/>
        <w:rPr>
          <w:bCs/>
          <w:lang w:val="es-ES"/>
        </w:rPr>
      </w:pPr>
      <w:r w:rsidRPr="000A2EB9">
        <w:rPr>
          <w:bCs/>
          <w:lang w:val="es-ES"/>
        </w:rPr>
        <w:t xml:space="preserve">Por el contrario, para el Tribunal Cimero la </w:t>
      </w:r>
      <w:r w:rsidR="00177F6D" w:rsidRPr="000A2EB9">
        <w:rPr>
          <w:bCs/>
          <w:lang w:val="es-ES"/>
        </w:rPr>
        <w:t>C</w:t>
      </w:r>
      <w:r w:rsidRPr="000A2EB9">
        <w:rPr>
          <w:bCs/>
          <w:lang w:val="es-ES"/>
        </w:rPr>
        <w:t>orte provincial subestimó datos y pruebas esenciales reveladores de la autonomía del desempeño del actor</w:t>
      </w:r>
      <w:r w:rsidR="000F4AE1" w:rsidRPr="000A2EB9">
        <w:rPr>
          <w:bCs/>
          <w:lang w:val="es-ES"/>
        </w:rPr>
        <w:t xml:space="preserve">, apuntando </w:t>
      </w:r>
      <w:r w:rsidR="00177F6D" w:rsidRPr="000A2EB9">
        <w:rPr>
          <w:bCs/>
          <w:lang w:val="es-ES"/>
        </w:rPr>
        <w:t>q</w:t>
      </w:r>
      <w:r w:rsidRPr="000A2EB9">
        <w:rPr>
          <w:bCs/>
          <w:lang w:val="es-ES"/>
        </w:rPr>
        <w:t xml:space="preserve">ue el demandante prestaba sus servicios a las demandadas </w:t>
      </w:r>
      <w:r w:rsidR="000F4AE1" w:rsidRPr="000A2EB9">
        <w:rPr>
          <w:bCs/>
          <w:lang w:val="es-ES"/>
        </w:rPr>
        <w:t xml:space="preserve">contando con </w:t>
      </w:r>
      <w:r w:rsidRPr="000A2EB9">
        <w:rPr>
          <w:bCs/>
          <w:lang w:val="es-ES"/>
        </w:rPr>
        <w:t xml:space="preserve">una organización de medios materiales y humanos que él </w:t>
      </w:r>
      <w:r w:rsidR="00177F6D" w:rsidRPr="000A2EB9">
        <w:rPr>
          <w:bCs/>
          <w:lang w:val="es-ES"/>
        </w:rPr>
        <w:t xml:space="preserve">mismo </w:t>
      </w:r>
      <w:r w:rsidRPr="000A2EB9">
        <w:rPr>
          <w:bCs/>
          <w:lang w:val="es-ES"/>
        </w:rPr>
        <w:t xml:space="preserve">dirigía, asentada en un inmueble propiedad de su cónyuge; </w:t>
      </w:r>
      <w:r w:rsidR="000F4AE1" w:rsidRPr="000A2EB9">
        <w:rPr>
          <w:bCs/>
          <w:lang w:val="es-ES"/>
        </w:rPr>
        <w:t xml:space="preserve">que el pretensor </w:t>
      </w:r>
      <w:r w:rsidRPr="000A2EB9">
        <w:rPr>
          <w:bCs/>
          <w:lang w:val="es-ES"/>
        </w:rPr>
        <w:t xml:space="preserve">se valía de la ayuda de un número significativo de empleados </w:t>
      </w:r>
      <w:r w:rsidR="000F4AE1" w:rsidRPr="000A2EB9">
        <w:rPr>
          <w:bCs/>
          <w:lang w:val="es-ES"/>
        </w:rPr>
        <w:t>(</w:t>
      </w:r>
      <w:r w:rsidRPr="000A2EB9">
        <w:rPr>
          <w:bCs/>
          <w:lang w:val="es-ES"/>
        </w:rPr>
        <w:t>19 a lo largo del tiempo y al menos 3 que trabajaron en forma simultánea</w:t>
      </w:r>
      <w:r w:rsidR="000F4AE1" w:rsidRPr="000A2EB9">
        <w:rPr>
          <w:bCs/>
          <w:lang w:val="es-ES"/>
        </w:rPr>
        <w:t>)</w:t>
      </w:r>
      <w:r w:rsidRPr="000A2EB9">
        <w:rPr>
          <w:bCs/>
          <w:lang w:val="es-ES"/>
        </w:rPr>
        <w:t xml:space="preserve">, sin estar sometido a las órdenes e instrucciones </w:t>
      </w:r>
      <w:r w:rsidR="00177F6D" w:rsidRPr="000A2EB9">
        <w:rPr>
          <w:bCs/>
          <w:lang w:val="es-ES"/>
        </w:rPr>
        <w:t xml:space="preserve">de las reclamadas, </w:t>
      </w:r>
      <w:r w:rsidRPr="000A2EB9">
        <w:rPr>
          <w:bCs/>
          <w:lang w:val="es-ES"/>
        </w:rPr>
        <w:t xml:space="preserve">típicas de la relación </w:t>
      </w:r>
      <w:r w:rsidR="000F4AE1" w:rsidRPr="000A2EB9">
        <w:rPr>
          <w:bCs/>
          <w:lang w:val="es-ES"/>
        </w:rPr>
        <w:t>l</w:t>
      </w:r>
      <w:r w:rsidRPr="000A2EB9">
        <w:rPr>
          <w:bCs/>
          <w:lang w:val="es-ES"/>
        </w:rPr>
        <w:t>aboral</w:t>
      </w:r>
      <w:r w:rsidR="000F4AE1" w:rsidRPr="000A2EB9">
        <w:rPr>
          <w:bCs/>
          <w:lang w:val="es-ES"/>
        </w:rPr>
        <w:t>.</w:t>
      </w:r>
    </w:p>
    <w:p w14:paraId="618A6708" w14:textId="6AB2D07C" w:rsidR="00D46B19" w:rsidRPr="000A2EB9" w:rsidRDefault="000F4AE1" w:rsidP="00D46B19">
      <w:pPr>
        <w:spacing w:line="360" w:lineRule="auto"/>
        <w:ind w:firstLine="720"/>
        <w:jc w:val="both"/>
        <w:rPr>
          <w:bCs/>
          <w:lang w:val="es-ES"/>
        </w:rPr>
      </w:pPr>
      <w:r w:rsidRPr="000A2EB9">
        <w:rPr>
          <w:bCs/>
          <w:lang w:val="es-ES"/>
        </w:rPr>
        <w:t xml:space="preserve">Además, el voto unánime de la Corte Suprema tuvo en cuenta que el actor participó </w:t>
      </w:r>
      <w:r w:rsidR="00D46B19" w:rsidRPr="000A2EB9">
        <w:rPr>
          <w:bCs/>
          <w:lang w:val="es-ES"/>
        </w:rPr>
        <w:t xml:space="preserve">del riesgo empresario, ya </w:t>
      </w:r>
      <w:r w:rsidRPr="000A2EB9">
        <w:rPr>
          <w:bCs/>
          <w:lang w:val="es-ES"/>
        </w:rPr>
        <w:t>que</w:t>
      </w:r>
      <w:r w:rsidR="00D46B19" w:rsidRPr="000A2EB9">
        <w:rPr>
          <w:bCs/>
          <w:lang w:val="es-ES"/>
        </w:rPr>
        <w:t xml:space="preserve"> percibía sus comisiones s</w:t>
      </w:r>
      <w:r w:rsidR="00177F6D" w:rsidRPr="000A2EB9">
        <w:rPr>
          <w:bCs/>
          <w:lang w:val="es-ES"/>
        </w:rPr>
        <w:t>ó</w:t>
      </w:r>
      <w:r w:rsidR="00D46B19" w:rsidRPr="000A2EB9">
        <w:rPr>
          <w:bCs/>
          <w:lang w:val="es-ES"/>
        </w:rPr>
        <w:t>lo ante el efectivo pago por parte de los clientes</w:t>
      </w:r>
      <w:r w:rsidRPr="000A2EB9">
        <w:rPr>
          <w:bCs/>
          <w:lang w:val="es-ES"/>
        </w:rPr>
        <w:t>; así como que</w:t>
      </w:r>
      <w:r w:rsidR="00177F6D" w:rsidRPr="000A2EB9">
        <w:rPr>
          <w:bCs/>
          <w:lang w:val="es-ES"/>
        </w:rPr>
        <w:t>,</w:t>
      </w:r>
      <w:r w:rsidRPr="000A2EB9">
        <w:rPr>
          <w:bCs/>
          <w:lang w:val="es-ES"/>
        </w:rPr>
        <w:t xml:space="preserve"> luego de</w:t>
      </w:r>
      <w:r w:rsidR="00D46B19" w:rsidRPr="000A2EB9">
        <w:rPr>
          <w:bCs/>
          <w:lang w:val="es-ES"/>
        </w:rPr>
        <w:t xml:space="preserve"> darse por despedido respecto de las codemandadas</w:t>
      </w:r>
      <w:r w:rsidR="00177F6D" w:rsidRPr="000A2EB9">
        <w:rPr>
          <w:bCs/>
          <w:lang w:val="es-ES"/>
        </w:rPr>
        <w:t>,</w:t>
      </w:r>
      <w:r w:rsidR="00D46B19" w:rsidRPr="000A2EB9">
        <w:rPr>
          <w:bCs/>
          <w:lang w:val="es-ES"/>
        </w:rPr>
        <w:t xml:space="preserve"> el actor comenz</w:t>
      </w:r>
      <w:r w:rsidRPr="000A2EB9">
        <w:rPr>
          <w:bCs/>
          <w:lang w:val="es-ES"/>
        </w:rPr>
        <w:t>ó</w:t>
      </w:r>
      <w:r w:rsidR="00D46B19" w:rsidRPr="000A2EB9">
        <w:rPr>
          <w:bCs/>
          <w:lang w:val="es-ES"/>
        </w:rPr>
        <w:t xml:space="preserve"> a prestar análogos servicios y desde el mismo espacio físico</w:t>
      </w:r>
      <w:r w:rsidRPr="000A2EB9">
        <w:rPr>
          <w:bCs/>
          <w:lang w:val="es-ES"/>
        </w:rPr>
        <w:t xml:space="preserve"> </w:t>
      </w:r>
      <w:r w:rsidR="00D46B19" w:rsidRPr="000A2EB9">
        <w:rPr>
          <w:bCs/>
          <w:lang w:val="es-ES"/>
        </w:rPr>
        <w:t>para otro grupo asegurador</w:t>
      </w:r>
      <w:r w:rsidRPr="000A2EB9">
        <w:rPr>
          <w:bCs/>
          <w:lang w:val="es-ES"/>
        </w:rPr>
        <w:t>, r</w:t>
      </w:r>
      <w:r w:rsidR="00D46B19" w:rsidRPr="000A2EB9">
        <w:rPr>
          <w:bCs/>
          <w:lang w:val="es-ES"/>
        </w:rPr>
        <w:t xml:space="preserve">egistrándose </w:t>
      </w:r>
      <w:r w:rsidRPr="000A2EB9">
        <w:rPr>
          <w:bCs/>
          <w:lang w:val="es-ES"/>
        </w:rPr>
        <w:t xml:space="preserve">él mismo </w:t>
      </w:r>
      <w:r w:rsidR="00D46B19" w:rsidRPr="000A2EB9">
        <w:rPr>
          <w:bCs/>
          <w:lang w:val="es-ES"/>
        </w:rPr>
        <w:t xml:space="preserve">ante la AFIP como trabajador </w:t>
      </w:r>
      <w:r w:rsidRPr="000A2EB9">
        <w:rPr>
          <w:bCs/>
          <w:lang w:val="es-ES"/>
        </w:rPr>
        <w:t xml:space="preserve">autónomo. </w:t>
      </w:r>
    </w:p>
    <w:p w14:paraId="440E6C34" w14:textId="68F506FA" w:rsidR="00D46B19" w:rsidRPr="000A2EB9" w:rsidRDefault="00D46B19" w:rsidP="00D46B19">
      <w:pPr>
        <w:spacing w:line="360" w:lineRule="auto"/>
        <w:ind w:firstLine="720"/>
        <w:jc w:val="both"/>
        <w:rPr>
          <w:bCs/>
          <w:lang w:val="es-ES"/>
        </w:rPr>
      </w:pPr>
      <w:r w:rsidRPr="000A2EB9">
        <w:rPr>
          <w:bCs/>
          <w:lang w:val="es-ES"/>
        </w:rPr>
        <w:t>Estas circunstancias</w:t>
      </w:r>
      <w:r w:rsidR="000F4AE1" w:rsidRPr="000A2EB9">
        <w:rPr>
          <w:bCs/>
          <w:lang w:val="es-ES"/>
        </w:rPr>
        <w:t>, destacó la Corte Federal,</w:t>
      </w:r>
      <w:r w:rsidRPr="000A2EB9">
        <w:rPr>
          <w:bCs/>
          <w:lang w:val="es-ES"/>
        </w:rPr>
        <w:t xml:space="preserve"> resultaban especialmente relevantes frente a la expresa previsión del art. 11 de la ley 22.400, regulatoria de la actividad de los productores asesores de seguros, en tanto dispone que "</w:t>
      </w:r>
      <w:r w:rsidRPr="000A2EB9">
        <w:rPr>
          <w:bCs/>
          <w:i/>
          <w:iCs/>
          <w:lang w:val="es-ES"/>
        </w:rPr>
        <w:t>e</w:t>
      </w:r>
      <w:r w:rsidR="000F4AE1" w:rsidRPr="000A2EB9">
        <w:rPr>
          <w:bCs/>
          <w:i/>
          <w:iCs/>
          <w:lang w:val="es-ES"/>
        </w:rPr>
        <w:t>l</w:t>
      </w:r>
      <w:r w:rsidRPr="000A2EB9">
        <w:rPr>
          <w:bCs/>
          <w:i/>
          <w:iCs/>
          <w:lang w:val="es-ES"/>
        </w:rPr>
        <w:t xml:space="preserve"> cumplimiento de la función de productor asesor de seguros no implica, en sí misma</w:t>
      </w:r>
      <w:r w:rsidR="000F4AE1" w:rsidRPr="000A2EB9">
        <w:rPr>
          <w:bCs/>
          <w:i/>
          <w:iCs/>
          <w:lang w:val="es-ES"/>
        </w:rPr>
        <w:t xml:space="preserve">, </w:t>
      </w:r>
      <w:r w:rsidRPr="000A2EB9">
        <w:rPr>
          <w:bCs/>
          <w:i/>
          <w:iCs/>
          <w:lang w:val="es-ES"/>
        </w:rPr>
        <w:t>subordinación jurídica o relación de dependencia con la entidad aseguradora o el asegurado</w:t>
      </w:r>
      <w:r w:rsidRPr="000A2EB9">
        <w:rPr>
          <w:bCs/>
          <w:lang w:val="es-ES"/>
        </w:rPr>
        <w:t xml:space="preserve">". </w:t>
      </w:r>
    </w:p>
    <w:p w14:paraId="7024B6D6" w14:textId="37886D19" w:rsidR="00D46B19" w:rsidRPr="000A2EB9" w:rsidRDefault="00883A8B" w:rsidP="00883A8B">
      <w:pPr>
        <w:spacing w:line="360" w:lineRule="auto"/>
        <w:ind w:firstLine="720"/>
        <w:jc w:val="both"/>
        <w:rPr>
          <w:bCs/>
          <w:lang w:val="es-ES"/>
        </w:rPr>
      </w:pPr>
      <w:r w:rsidRPr="000A2EB9">
        <w:rPr>
          <w:bCs/>
          <w:lang w:val="es-ES"/>
        </w:rPr>
        <w:t>Más aún, para los mencionados ministros tampoco abona</w:t>
      </w:r>
      <w:r w:rsidR="00177F6D" w:rsidRPr="000A2EB9">
        <w:rPr>
          <w:bCs/>
          <w:lang w:val="es-ES"/>
        </w:rPr>
        <w:t>ba</w:t>
      </w:r>
      <w:r w:rsidRPr="000A2EB9">
        <w:rPr>
          <w:bCs/>
          <w:lang w:val="es-ES"/>
        </w:rPr>
        <w:t xml:space="preserve"> la tesis de la dependencia laboral la retribución mensual que el Tribunal a quo atribuyó al actor pues, </w:t>
      </w:r>
      <w:r w:rsidRPr="000A2EB9">
        <w:rPr>
          <w:bCs/>
          <w:lang w:val="es-ES"/>
        </w:rPr>
        <w:lastRenderedPageBreak/>
        <w:t xml:space="preserve">por su modalidad de liquidación y su relevancia económica, parece responder más al éxito de la labor comercial que a la retribución propia de un empleado jerárquico. </w:t>
      </w:r>
    </w:p>
    <w:p w14:paraId="76FEDD3F" w14:textId="6759BAC9" w:rsidR="00883A8B" w:rsidRPr="000A2EB9" w:rsidRDefault="00883A8B" w:rsidP="00883A8B">
      <w:pPr>
        <w:spacing w:line="360" w:lineRule="auto"/>
        <w:ind w:firstLine="720"/>
        <w:jc w:val="both"/>
        <w:rPr>
          <w:bCs/>
          <w:lang w:val="es-ES"/>
        </w:rPr>
      </w:pPr>
      <w:r w:rsidRPr="000A2EB9">
        <w:rPr>
          <w:bCs/>
          <w:lang w:val="es-ES"/>
        </w:rPr>
        <w:t>En suma, sostuvo el Más Alto Tribunal argentino que las circunstancias señaladas resultaban, en principio, hábiles para encontrar configurada la hipótesis prevista en el último párrafo del art. 23 de la Ley de Contrato de Trabajo (</w:t>
      </w:r>
      <w:r w:rsidRPr="000A2EB9">
        <w:rPr>
          <w:rStyle w:val="Refdenotaalpie"/>
          <w:bCs/>
          <w:lang w:val="es-ES"/>
        </w:rPr>
        <w:footnoteReference w:id="54"/>
      </w:r>
      <w:r w:rsidRPr="000A2EB9">
        <w:rPr>
          <w:bCs/>
          <w:lang w:val="es-ES"/>
        </w:rPr>
        <w:t xml:space="preserve">), según la cual la presunción derivada de la prestación de tareas </w:t>
      </w:r>
      <w:r w:rsidR="00BD6A3A" w:rsidRPr="000A2EB9">
        <w:rPr>
          <w:bCs/>
          <w:lang w:val="es-ES"/>
        </w:rPr>
        <w:t>resulta desvirtuada</w:t>
      </w:r>
      <w:r w:rsidRPr="000A2EB9">
        <w:rPr>
          <w:bCs/>
          <w:lang w:val="es-ES"/>
        </w:rPr>
        <w:t xml:space="preserve"> cuando "</w:t>
      </w:r>
      <w:r w:rsidRPr="000A2EB9">
        <w:rPr>
          <w:bCs/>
          <w:i/>
          <w:iCs/>
          <w:lang w:val="es-ES"/>
        </w:rPr>
        <w:t>sea dado calificar de empresario a quien presta el servicio</w:t>
      </w:r>
      <w:r w:rsidRPr="000A2EB9">
        <w:rPr>
          <w:bCs/>
          <w:lang w:val="es-ES"/>
        </w:rPr>
        <w:t>", disposición que, además, resulta compatible con las previsiones de la norma específica de la actividad, es decir el art. 11 de la ley 22.400.</w:t>
      </w:r>
    </w:p>
    <w:p w14:paraId="6E035584" w14:textId="1BAD3BE0" w:rsidR="00C6613B" w:rsidRPr="000A2EB9" w:rsidRDefault="00C6613B" w:rsidP="00883A8B">
      <w:pPr>
        <w:spacing w:line="360" w:lineRule="auto"/>
        <w:ind w:firstLine="720"/>
        <w:jc w:val="both"/>
        <w:rPr>
          <w:bCs/>
          <w:lang w:val="es-ES"/>
        </w:rPr>
      </w:pPr>
      <w:r w:rsidRPr="000A2EB9">
        <w:rPr>
          <w:bCs/>
          <w:lang w:val="es-ES"/>
        </w:rPr>
        <w:t>En virtud de esos reproche</w:t>
      </w:r>
      <w:r w:rsidR="00BD6A3A" w:rsidRPr="000A2EB9">
        <w:rPr>
          <w:bCs/>
          <w:lang w:val="es-ES"/>
        </w:rPr>
        <w:t>s</w:t>
      </w:r>
      <w:r w:rsidRPr="000A2EB9">
        <w:rPr>
          <w:bCs/>
          <w:lang w:val="es-ES"/>
        </w:rPr>
        <w:t>, la Corte Suprema dejó sin efecto lo decidido por el Tribunal provincial, mandando dictar una nueva sentencia con arreglo a los señalamientos efectuados.</w:t>
      </w:r>
    </w:p>
    <w:p w14:paraId="173DB62E" w14:textId="13F23F0E" w:rsidR="00C6613B" w:rsidRPr="000A2EB9" w:rsidRDefault="00C6613B" w:rsidP="00D46B19">
      <w:pPr>
        <w:spacing w:line="360" w:lineRule="auto"/>
        <w:ind w:firstLine="720"/>
        <w:jc w:val="both"/>
        <w:rPr>
          <w:bCs/>
          <w:lang w:val="es-ES"/>
        </w:rPr>
      </w:pPr>
      <w:r w:rsidRPr="000A2EB9">
        <w:rPr>
          <w:bCs/>
          <w:lang w:val="es-ES"/>
        </w:rPr>
        <w:t>Luego de haber expuesto esta serie de casos y las respectivas argumentaciones de la Corte Suprema argentina, sin abrir juicio aquí sobre tales decisiones, parece inevitable reconocer que en esta temática dicho Tribunal ha intervenido de un modo intenso y, en vari</w:t>
      </w:r>
      <w:r w:rsidR="00BD6A3A" w:rsidRPr="000A2EB9">
        <w:rPr>
          <w:bCs/>
          <w:lang w:val="es-ES"/>
        </w:rPr>
        <w:t>a</w:t>
      </w:r>
      <w:r w:rsidRPr="000A2EB9">
        <w:rPr>
          <w:bCs/>
          <w:lang w:val="es-ES"/>
        </w:rPr>
        <w:t>s de aquellas, yendo más allá de la mera descalificación de las sentencias recurridas a tenor de la doctrina de la arbitrariedad de la sentencia; así como que, en cambio, los diversos votos incursionaron en la valoración de los hechos y de las pruebas, como si tratara de una competencia apelada ordinaria y no en el tan estrecho margen que aquella doctrina otorga. Amén de ello, en algunos de los votos reseñados se ve también de un modo inocultable la interpretación del derecho común, sea la Ley de Contrato de Trabajo, sea el Código Civil vigente a la época de los hechos.</w:t>
      </w:r>
    </w:p>
    <w:p w14:paraId="0EAED004" w14:textId="6BF79445" w:rsidR="00C6613B" w:rsidRPr="000A2EB9" w:rsidRDefault="00C6613B" w:rsidP="00D46B19">
      <w:pPr>
        <w:spacing w:line="360" w:lineRule="auto"/>
        <w:ind w:firstLine="720"/>
        <w:jc w:val="both"/>
        <w:rPr>
          <w:bCs/>
          <w:lang w:val="es-ES"/>
        </w:rPr>
      </w:pPr>
      <w:r w:rsidRPr="000A2EB9">
        <w:rPr>
          <w:bCs/>
          <w:lang w:val="es-ES"/>
        </w:rPr>
        <w:t xml:space="preserve">En síntesis, creo visible que la Corte Suprema ha considerado tan relevante esta materia, tal vez por la Teoría Económica del Derecho </w:t>
      </w:r>
      <w:r w:rsidR="00BD6A3A" w:rsidRPr="000A2EB9">
        <w:rPr>
          <w:bCs/>
          <w:lang w:val="es-ES"/>
        </w:rPr>
        <w:t>aludi</w:t>
      </w:r>
      <w:r w:rsidRPr="000A2EB9">
        <w:rPr>
          <w:bCs/>
          <w:lang w:val="es-ES"/>
        </w:rPr>
        <w:t>da por el juez Lorenzetti repetidamente</w:t>
      </w:r>
      <w:r w:rsidR="00BD6A3A" w:rsidRPr="000A2EB9">
        <w:rPr>
          <w:bCs/>
          <w:lang w:val="es-ES"/>
        </w:rPr>
        <w:t>;</w:t>
      </w:r>
      <w:r w:rsidRPr="000A2EB9">
        <w:rPr>
          <w:bCs/>
          <w:lang w:val="es-ES"/>
        </w:rPr>
        <w:t xml:space="preserve"> </w:t>
      </w:r>
      <w:r w:rsidR="00BD6A3A" w:rsidRPr="000A2EB9">
        <w:rPr>
          <w:bCs/>
          <w:lang w:val="es-ES"/>
        </w:rPr>
        <w:t xml:space="preserve">y </w:t>
      </w:r>
      <w:r w:rsidRPr="000A2EB9">
        <w:rPr>
          <w:bCs/>
          <w:lang w:val="es-ES"/>
        </w:rPr>
        <w:t xml:space="preserve">que prefirió abandonar los prietos márgenes de la doctrina de la sentencia arbitraria para sustituir a los tribunales ordinarios e imponerles su propio criterio con una fuerza cuasi casatoria. </w:t>
      </w:r>
    </w:p>
    <w:p w14:paraId="18B7D25C" w14:textId="58267096" w:rsidR="00C6613B" w:rsidRPr="000A2EB9" w:rsidRDefault="00BD6A3A" w:rsidP="00C6613B">
      <w:pPr>
        <w:spacing w:line="360" w:lineRule="auto"/>
        <w:ind w:firstLine="720"/>
        <w:jc w:val="both"/>
        <w:rPr>
          <w:bCs/>
          <w:lang w:val="es-ES"/>
        </w:rPr>
      </w:pPr>
      <w:r w:rsidRPr="000A2EB9">
        <w:rPr>
          <w:bCs/>
          <w:lang w:val="es-ES"/>
        </w:rPr>
        <w:t>S</w:t>
      </w:r>
      <w:r w:rsidR="00C6613B" w:rsidRPr="000A2EB9">
        <w:rPr>
          <w:bCs/>
          <w:lang w:val="es-ES"/>
        </w:rPr>
        <w:t>e comparta o no ese avance del Máximo Tribunal</w:t>
      </w:r>
      <w:r w:rsidRPr="000A2EB9">
        <w:rPr>
          <w:bCs/>
          <w:lang w:val="es-ES"/>
        </w:rPr>
        <w:t xml:space="preserve"> y </w:t>
      </w:r>
      <w:r w:rsidR="00C6613B" w:rsidRPr="000A2EB9">
        <w:rPr>
          <w:bCs/>
          <w:lang w:val="es-ES"/>
        </w:rPr>
        <w:t xml:space="preserve">la valoración que ha hecho de las circunstancias fácticas, de las pruebas y del derecho aplicable, no debe olvidarse que dicho Tribunal es la cabeza del Poder Judicial de la Nación y que, como lo indica su denominación en la Constitución Nacional, es “suprema”. </w:t>
      </w:r>
    </w:p>
    <w:p w14:paraId="2B9742D5" w14:textId="77777777" w:rsidR="00C177C4" w:rsidRPr="000A2EB9" w:rsidRDefault="00C177C4" w:rsidP="00D20641">
      <w:pPr>
        <w:spacing w:line="360" w:lineRule="auto"/>
        <w:jc w:val="both"/>
        <w:rPr>
          <w:b/>
          <w:lang w:val="es-ES"/>
        </w:rPr>
      </w:pPr>
    </w:p>
    <w:p w14:paraId="26DCC881" w14:textId="3750A358" w:rsidR="00D20641" w:rsidRPr="000A2EB9" w:rsidRDefault="002F5665" w:rsidP="00D20641">
      <w:pPr>
        <w:spacing w:line="360" w:lineRule="auto"/>
        <w:jc w:val="both"/>
        <w:rPr>
          <w:b/>
          <w:lang w:val="es-ES"/>
        </w:rPr>
      </w:pPr>
      <w:r w:rsidRPr="000A2EB9">
        <w:rPr>
          <w:b/>
          <w:lang w:val="es-ES"/>
        </w:rPr>
        <w:t>D</w:t>
      </w:r>
      <w:r w:rsidR="00BD6A3A" w:rsidRPr="000A2EB9">
        <w:rPr>
          <w:b/>
          <w:lang w:val="es-ES"/>
        </w:rPr>
        <w:t xml:space="preserve">) </w:t>
      </w:r>
      <w:r w:rsidR="00D20641" w:rsidRPr="000A2EB9">
        <w:rPr>
          <w:b/>
          <w:lang w:val="es-ES"/>
        </w:rPr>
        <w:t>2</w:t>
      </w:r>
      <w:r w:rsidR="00BD6A3A" w:rsidRPr="000A2EB9">
        <w:rPr>
          <w:b/>
          <w:lang w:val="es-ES"/>
        </w:rPr>
        <w:t>.</w:t>
      </w:r>
      <w:r w:rsidR="00D20641" w:rsidRPr="000A2EB9">
        <w:rPr>
          <w:b/>
          <w:lang w:val="es-ES"/>
        </w:rPr>
        <w:t xml:space="preserve"> Concepto de remuneración</w:t>
      </w:r>
      <w:r w:rsidR="00BD6A3A" w:rsidRPr="000A2EB9">
        <w:rPr>
          <w:b/>
          <w:lang w:val="es-ES"/>
        </w:rPr>
        <w:t>.</w:t>
      </w:r>
    </w:p>
    <w:p w14:paraId="3590443A" w14:textId="4AD54B1E" w:rsidR="007C3A15" w:rsidRPr="000A2EB9" w:rsidRDefault="007C3A15" w:rsidP="00D20641">
      <w:pPr>
        <w:spacing w:line="360" w:lineRule="auto"/>
        <w:jc w:val="both"/>
        <w:rPr>
          <w:bCs/>
          <w:lang w:val="es-ES"/>
        </w:rPr>
      </w:pPr>
      <w:r w:rsidRPr="000A2EB9">
        <w:rPr>
          <w:bCs/>
          <w:lang w:val="es-ES"/>
        </w:rPr>
        <w:tab/>
        <w:t xml:space="preserve">Para comprender el hecho de que la Corte Suprema de Justicia se haya ocupado en tres fallos sucesivos del concepto de remuneración </w:t>
      </w:r>
      <w:r w:rsidR="00005A26" w:rsidRPr="000A2EB9">
        <w:rPr>
          <w:bCs/>
          <w:lang w:val="es-ES"/>
        </w:rPr>
        <w:t xml:space="preserve">se </w:t>
      </w:r>
      <w:r w:rsidRPr="000A2EB9">
        <w:rPr>
          <w:bCs/>
          <w:lang w:val="es-ES"/>
        </w:rPr>
        <w:t xml:space="preserve">requiere, a mi juicio, explicar </w:t>
      </w:r>
      <w:r w:rsidRPr="000A2EB9">
        <w:rPr>
          <w:bCs/>
          <w:lang w:val="es-ES"/>
        </w:rPr>
        <w:lastRenderedPageBreak/>
        <w:t>su contexto, sobre todo frente a la clara conceptualización hecha en el art. 103 de la Ley de Contrato de Trabajo (</w:t>
      </w:r>
      <w:r w:rsidRPr="000A2EB9">
        <w:rPr>
          <w:rStyle w:val="Refdenotaalpie"/>
          <w:bCs/>
          <w:lang w:val="es-ES"/>
        </w:rPr>
        <w:footnoteReference w:id="55"/>
      </w:r>
      <w:r w:rsidRPr="000A2EB9">
        <w:rPr>
          <w:bCs/>
          <w:lang w:val="es-ES"/>
        </w:rPr>
        <w:t>) y en el Convenio 95 de la OIT (</w:t>
      </w:r>
      <w:r w:rsidRPr="000A2EB9">
        <w:rPr>
          <w:rStyle w:val="Refdenotaalpie"/>
          <w:bCs/>
          <w:lang w:val="es-ES"/>
        </w:rPr>
        <w:footnoteReference w:id="56"/>
      </w:r>
      <w:r w:rsidRPr="000A2EB9">
        <w:rPr>
          <w:bCs/>
          <w:lang w:val="es-ES"/>
        </w:rPr>
        <w:t>).</w:t>
      </w:r>
    </w:p>
    <w:p w14:paraId="2262F67E" w14:textId="77E498D1" w:rsidR="00FD278F" w:rsidRPr="000A2EB9" w:rsidRDefault="0081769D" w:rsidP="00D20641">
      <w:pPr>
        <w:spacing w:line="360" w:lineRule="auto"/>
        <w:jc w:val="both"/>
        <w:rPr>
          <w:bCs/>
          <w:lang w:val="es-ES"/>
        </w:rPr>
      </w:pPr>
      <w:r w:rsidRPr="000A2EB9">
        <w:rPr>
          <w:bCs/>
          <w:lang w:val="es-ES"/>
        </w:rPr>
        <w:tab/>
        <w:t xml:space="preserve">Dicho de un modo muy sucinto, en la primera mitad de los años 90 la legislación fue modificada, primero por el Decreto de necesidad y urgencia 1.447/1989 </w:t>
      </w:r>
      <w:r w:rsidR="007E690A" w:rsidRPr="000A2EB9">
        <w:rPr>
          <w:bCs/>
          <w:lang w:val="es-ES"/>
        </w:rPr>
        <w:t>(</w:t>
      </w:r>
      <w:r w:rsidR="007E690A" w:rsidRPr="000A2EB9">
        <w:rPr>
          <w:rStyle w:val="Refdenotaalpie"/>
          <w:bCs/>
          <w:lang w:val="es-ES"/>
        </w:rPr>
        <w:footnoteReference w:id="57"/>
      </w:r>
      <w:r w:rsidR="007E690A" w:rsidRPr="000A2EB9">
        <w:rPr>
          <w:bCs/>
          <w:lang w:val="es-ES"/>
        </w:rPr>
        <w:t xml:space="preserve">) </w:t>
      </w:r>
      <w:r w:rsidRPr="000A2EB9">
        <w:rPr>
          <w:bCs/>
          <w:lang w:val="es-ES"/>
        </w:rPr>
        <w:t xml:space="preserve">y luego por la ley 27.400, flexibilizando el concepto de salario al permitir que los empleadores entregaran a </w:t>
      </w:r>
      <w:r w:rsidR="007E690A" w:rsidRPr="000A2EB9">
        <w:rPr>
          <w:bCs/>
          <w:lang w:val="es-ES"/>
        </w:rPr>
        <w:t xml:space="preserve">sus dependientes </w:t>
      </w:r>
      <w:r w:rsidRPr="000A2EB9">
        <w:rPr>
          <w:bCs/>
          <w:lang w:val="es-ES"/>
        </w:rPr>
        <w:t>títulos valores (tickets canasta, tickets restaurante, tickets de combustible, etc.) partiendo de la premisa de que tales valores representarían “beneficios sociales” y no salario, con la consecuencia de no tributar a la Seguridad Social</w:t>
      </w:r>
      <w:r w:rsidR="00FD278F" w:rsidRPr="000A2EB9">
        <w:rPr>
          <w:bCs/>
          <w:lang w:val="es-ES"/>
        </w:rPr>
        <w:t>, así como también la de acotar la base de cálculo de las eventuales indemnizaciones por despido (</w:t>
      </w:r>
      <w:r w:rsidR="00FD278F" w:rsidRPr="000A2EB9">
        <w:rPr>
          <w:rStyle w:val="Refdenotaalpie"/>
          <w:bCs/>
          <w:lang w:val="es-ES"/>
        </w:rPr>
        <w:footnoteReference w:id="58"/>
      </w:r>
      <w:r w:rsidR="00FD278F" w:rsidRPr="000A2EB9">
        <w:rPr>
          <w:bCs/>
          <w:lang w:val="es-ES"/>
        </w:rPr>
        <w:t>).</w:t>
      </w:r>
    </w:p>
    <w:p w14:paraId="0C20216B" w14:textId="7F44E3B4" w:rsidR="0081769D" w:rsidRPr="000A2EB9" w:rsidRDefault="0081769D" w:rsidP="00D20641">
      <w:pPr>
        <w:spacing w:line="360" w:lineRule="auto"/>
        <w:jc w:val="both"/>
        <w:rPr>
          <w:bCs/>
          <w:lang w:val="es-ES"/>
        </w:rPr>
      </w:pPr>
      <w:r w:rsidRPr="000A2EB9">
        <w:rPr>
          <w:bCs/>
          <w:lang w:val="es-ES"/>
        </w:rPr>
        <w:t xml:space="preserve"> </w:t>
      </w:r>
      <w:r w:rsidR="00FD278F" w:rsidRPr="000A2EB9">
        <w:rPr>
          <w:bCs/>
          <w:lang w:val="es-ES"/>
        </w:rPr>
        <w:t xml:space="preserve"> </w:t>
      </w:r>
      <w:r w:rsidR="00FD278F" w:rsidRPr="000A2EB9">
        <w:rPr>
          <w:bCs/>
          <w:lang w:val="es-ES"/>
        </w:rPr>
        <w:tab/>
      </w:r>
      <w:r w:rsidRPr="000A2EB9">
        <w:rPr>
          <w:bCs/>
          <w:lang w:val="es-ES"/>
        </w:rPr>
        <w:t>La realidad mostró rápidamente un claro abuso en la utilización de estos instrumentos fuera de su supuesta finalidad (</w:t>
      </w:r>
      <w:r w:rsidRPr="000A2EB9">
        <w:rPr>
          <w:rStyle w:val="Refdenotaalpie"/>
          <w:bCs/>
          <w:lang w:val="es-ES"/>
        </w:rPr>
        <w:footnoteReference w:id="59"/>
      </w:r>
      <w:r w:rsidRPr="000A2EB9">
        <w:rPr>
          <w:bCs/>
          <w:lang w:val="es-ES"/>
        </w:rPr>
        <w:t xml:space="preserve">) y en la práctica tribunalicia se comprobó en muchos casos una sustitución, a partir de esas normas, de salario en dinero por estos valores. Luego se hizo una práctica repetida en la negociación colectiva que, durante el proceso de acuerdo, se pactaran aumentos salariales en todo o en parte calificados por las partes colectivas </w:t>
      </w:r>
      <w:r w:rsidR="0080032F" w:rsidRPr="000A2EB9">
        <w:rPr>
          <w:bCs/>
          <w:lang w:val="es-ES"/>
        </w:rPr>
        <w:t>como” no</w:t>
      </w:r>
      <w:r w:rsidRPr="000A2EB9">
        <w:rPr>
          <w:bCs/>
          <w:lang w:val="es-ES"/>
        </w:rPr>
        <w:t xml:space="preserve"> remuneratorios”.</w:t>
      </w:r>
    </w:p>
    <w:p w14:paraId="652264D3" w14:textId="152D4A2A" w:rsidR="00F62597" w:rsidRPr="000A2EB9" w:rsidRDefault="00AD4636" w:rsidP="00D07062">
      <w:pPr>
        <w:spacing w:line="360" w:lineRule="auto"/>
        <w:jc w:val="both"/>
        <w:rPr>
          <w:bCs/>
          <w:lang w:val="es-ES"/>
        </w:rPr>
      </w:pPr>
      <w:r w:rsidRPr="000A2EB9">
        <w:rPr>
          <w:bCs/>
          <w:lang w:val="es-ES"/>
        </w:rPr>
        <w:tab/>
        <w:t>El mencionado decreto 1.477/1989 introdujo en la Ley de Contrato de Trabajo un artículo 105bis y, m</w:t>
      </w:r>
      <w:r w:rsidR="00D07062" w:rsidRPr="000A2EB9">
        <w:rPr>
          <w:bCs/>
          <w:lang w:val="es-ES"/>
        </w:rPr>
        <w:t xml:space="preserve">ás tarde, el mismo gobierno </w:t>
      </w:r>
      <w:r w:rsidR="0053253F" w:rsidRPr="000A2EB9">
        <w:rPr>
          <w:bCs/>
          <w:lang w:val="es-ES"/>
        </w:rPr>
        <w:t>dictó</w:t>
      </w:r>
      <w:r w:rsidR="00D07062" w:rsidRPr="000A2EB9">
        <w:rPr>
          <w:bCs/>
          <w:lang w:val="es-ES"/>
        </w:rPr>
        <w:t xml:space="preserve"> una sucesión de normas (</w:t>
      </w:r>
      <w:r w:rsidR="0053253F" w:rsidRPr="000A2EB9">
        <w:rPr>
          <w:bCs/>
          <w:lang w:val="es-ES"/>
        </w:rPr>
        <w:t>decreto</w:t>
      </w:r>
      <w:r w:rsidR="00D07062" w:rsidRPr="000A2EB9">
        <w:rPr>
          <w:bCs/>
          <w:lang w:val="es-ES"/>
        </w:rPr>
        <w:t xml:space="preserve">s 333/1993, </w:t>
      </w:r>
      <w:r w:rsidR="0053253F" w:rsidRPr="000A2EB9">
        <w:rPr>
          <w:bCs/>
          <w:lang w:val="es-ES"/>
        </w:rPr>
        <w:t>773/</w:t>
      </w:r>
      <w:r w:rsidR="00D07062" w:rsidRPr="000A2EB9">
        <w:rPr>
          <w:bCs/>
          <w:lang w:val="es-ES"/>
        </w:rPr>
        <w:t>19</w:t>
      </w:r>
      <w:r w:rsidR="0053253F" w:rsidRPr="000A2EB9">
        <w:rPr>
          <w:bCs/>
          <w:lang w:val="es-ES"/>
        </w:rPr>
        <w:t>96</w:t>
      </w:r>
      <w:r w:rsidR="00D07062" w:rsidRPr="000A2EB9">
        <w:rPr>
          <w:bCs/>
          <w:lang w:val="es-ES"/>
        </w:rPr>
        <w:t xml:space="preserve"> </w:t>
      </w:r>
      <w:r w:rsidR="0053253F" w:rsidRPr="000A2EB9">
        <w:rPr>
          <w:bCs/>
          <w:lang w:val="es-ES"/>
        </w:rPr>
        <w:t>y 848/</w:t>
      </w:r>
      <w:r w:rsidR="00D07062" w:rsidRPr="000A2EB9">
        <w:rPr>
          <w:bCs/>
          <w:lang w:val="es-ES"/>
        </w:rPr>
        <w:t>19</w:t>
      </w:r>
      <w:r w:rsidR="0053253F" w:rsidRPr="000A2EB9">
        <w:rPr>
          <w:bCs/>
          <w:lang w:val="es-ES"/>
        </w:rPr>
        <w:t>96</w:t>
      </w:r>
      <w:r w:rsidRPr="000A2EB9">
        <w:rPr>
          <w:bCs/>
          <w:lang w:val="es-ES"/>
        </w:rPr>
        <w:t>)</w:t>
      </w:r>
      <w:r w:rsidR="00D07062" w:rsidRPr="000A2EB9">
        <w:rPr>
          <w:bCs/>
          <w:lang w:val="es-ES"/>
        </w:rPr>
        <w:t xml:space="preserve">, volviendo </w:t>
      </w:r>
      <w:r w:rsidRPr="000A2EB9">
        <w:rPr>
          <w:bCs/>
          <w:lang w:val="es-ES"/>
        </w:rPr>
        <w:t xml:space="preserve">en cierto momento </w:t>
      </w:r>
      <w:r w:rsidR="00D07062" w:rsidRPr="000A2EB9">
        <w:rPr>
          <w:bCs/>
          <w:lang w:val="es-ES"/>
        </w:rPr>
        <w:t xml:space="preserve">la situación a su situación original, bajo el texto único del art. 103 LCT, con lo que </w:t>
      </w:r>
      <w:r w:rsidR="0053253F" w:rsidRPr="000A2EB9">
        <w:rPr>
          <w:bCs/>
          <w:lang w:val="es-ES"/>
        </w:rPr>
        <w:t xml:space="preserve">los valores entregados por los empleadores a sus trabajadores mediante vales de comida, tickets canasta y similares pasaron a ser pagos salariales en los términos del </w:t>
      </w:r>
      <w:r w:rsidR="00D07062" w:rsidRPr="000A2EB9">
        <w:rPr>
          <w:bCs/>
          <w:lang w:val="es-ES"/>
        </w:rPr>
        <w:t xml:space="preserve">esa norma. </w:t>
      </w:r>
    </w:p>
    <w:p w14:paraId="37E69252" w14:textId="2388271D" w:rsidR="00AD4636" w:rsidRPr="000A2EB9" w:rsidRDefault="00F62597" w:rsidP="00D07062">
      <w:pPr>
        <w:spacing w:line="360" w:lineRule="auto"/>
        <w:jc w:val="both"/>
        <w:rPr>
          <w:bCs/>
          <w:lang w:val="es-ES"/>
        </w:rPr>
      </w:pPr>
      <w:r w:rsidRPr="000A2EB9">
        <w:rPr>
          <w:bCs/>
          <w:lang w:val="es-ES"/>
        </w:rPr>
        <w:t xml:space="preserve"> </w:t>
      </w:r>
      <w:r w:rsidRPr="000A2EB9">
        <w:rPr>
          <w:bCs/>
          <w:lang w:val="es-ES"/>
        </w:rPr>
        <w:tab/>
      </w:r>
      <w:r w:rsidR="00D07062" w:rsidRPr="000A2EB9">
        <w:rPr>
          <w:bCs/>
          <w:lang w:val="es-ES"/>
        </w:rPr>
        <w:t xml:space="preserve">Sin embargo, poco después el Congreso Nacional dictó en septiembre de 1996 la ley 24.700 </w:t>
      </w:r>
      <w:r w:rsidR="0053253F" w:rsidRPr="000A2EB9">
        <w:rPr>
          <w:bCs/>
          <w:lang w:val="es-ES"/>
        </w:rPr>
        <w:t>que</w:t>
      </w:r>
      <w:r w:rsidR="00D07062" w:rsidRPr="000A2EB9">
        <w:rPr>
          <w:bCs/>
          <w:lang w:val="es-ES"/>
        </w:rPr>
        <w:t xml:space="preserve">, de alguna manera, revivió el derogado art. 105 bis de la LCT, </w:t>
      </w:r>
      <w:r w:rsidR="00AD4636" w:rsidRPr="000A2EB9">
        <w:rPr>
          <w:bCs/>
          <w:lang w:val="es-ES"/>
        </w:rPr>
        <w:t xml:space="preserve">pero </w:t>
      </w:r>
      <w:r w:rsidR="00AD4636" w:rsidRPr="000A2EB9">
        <w:rPr>
          <w:bCs/>
          <w:lang w:val="es-ES"/>
        </w:rPr>
        <w:lastRenderedPageBreak/>
        <w:t xml:space="preserve">entonces </w:t>
      </w:r>
      <w:r w:rsidR="00D07062" w:rsidRPr="000A2EB9">
        <w:rPr>
          <w:bCs/>
          <w:lang w:val="es-ES"/>
        </w:rPr>
        <w:t>incorpora</w:t>
      </w:r>
      <w:r w:rsidR="00AD4636" w:rsidRPr="000A2EB9">
        <w:rPr>
          <w:bCs/>
          <w:lang w:val="es-ES"/>
        </w:rPr>
        <w:t xml:space="preserve">do como </w:t>
      </w:r>
      <w:r w:rsidR="00D07062" w:rsidRPr="000A2EB9">
        <w:rPr>
          <w:bCs/>
          <w:lang w:val="es-ES"/>
        </w:rPr>
        <w:t>artículo 103bis</w:t>
      </w:r>
      <w:r w:rsidRPr="000A2EB9">
        <w:rPr>
          <w:bCs/>
          <w:lang w:val="es-ES"/>
        </w:rPr>
        <w:t>, introduciendo en el régimen legal el instituto de los “beneficios sociales” (</w:t>
      </w:r>
      <w:r w:rsidRPr="000A2EB9">
        <w:rPr>
          <w:rStyle w:val="Refdenotaalpie"/>
          <w:bCs/>
          <w:lang w:val="es-ES"/>
        </w:rPr>
        <w:footnoteReference w:id="60"/>
      </w:r>
      <w:r w:rsidRPr="000A2EB9">
        <w:rPr>
          <w:bCs/>
          <w:lang w:val="es-ES"/>
        </w:rPr>
        <w:t>),</w:t>
      </w:r>
      <w:r w:rsidR="00D07062" w:rsidRPr="000A2EB9">
        <w:rPr>
          <w:bCs/>
          <w:lang w:val="es-ES"/>
        </w:rPr>
        <w:t xml:space="preserve"> </w:t>
      </w:r>
      <w:r w:rsidR="00AD4636" w:rsidRPr="000A2EB9">
        <w:rPr>
          <w:bCs/>
          <w:lang w:val="es-ES"/>
        </w:rPr>
        <w:t xml:space="preserve">norma </w:t>
      </w:r>
      <w:r w:rsidR="00D07062" w:rsidRPr="000A2EB9">
        <w:rPr>
          <w:bCs/>
          <w:lang w:val="es-ES"/>
        </w:rPr>
        <w:t xml:space="preserve">que decía así: </w:t>
      </w:r>
    </w:p>
    <w:p w14:paraId="4EF068AD" w14:textId="1B557141" w:rsidR="00D07062" w:rsidRPr="000A2EB9" w:rsidRDefault="00D07062" w:rsidP="00D07062">
      <w:pPr>
        <w:spacing w:line="360" w:lineRule="auto"/>
        <w:jc w:val="both"/>
        <w:rPr>
          <w:bCs/>
          <w:i/>
          <w:iCs/>
          <w:lang w:val="es-ES"/>
        </w:rPr>
      </w:pPr>
      <w:r w:rsidRPr="000A2EB9">
        <w:rPr>
          <w:bCs/>
          <w:lang w:val="es-ES"/>
        </w:rPr>
        <w:t>“</w:t>
      </w:r>
      <w:r w:rsidRPr="000A2EB9">
        <w:rPr>
          <w:bCs/>
          <w:i/>
          <w:iCs/>
          <w:lang w:val="es-ES"/>
        </w:rPr>
        <w:t>Se denominan beneficios sociales a las prestaciones de naturaleza jurídica de seguridad social, no remunerativas, no dinerarias, no acumulables ni sustituibles en dinero, que brinda el empleador al trabajador por sí o por medio de terceros, que tiene por objeto mejorar la calidad de vida del dependiente o de su familia a cargo.</w:t>
      </w:r>
    </w:p>
    <w:p w14:paraId="77EC98CD" w14:textId="77777777" w:rsidR="00D07062" w:rsidRPr="000A2EB9" w:rsidRDefault="00D07062" w:rsidP="00D07062">
      <w:pPr>
        <w:spacing w:line="360" w:lineRule="auto"/>
        <w:jc w:val="both"/>
        <w:rPr>
          <w:bCs/>
          <w:i/>
          <w:iCs/>
          <w:lang w:val="es-ES"/>
        </w:rPr>
      </w:pPr>
      <w:r w:rsidRPr="000A2EB9">
        <w:rPr>
          <w:bCs/>
          <w:i/>
          <w:iCs/>
          <w:lang w:val="es-ES"/>
        </w:rPr>
        <w:t>Son beneficios sociales las siguientes prestaciones:</w:t>
      </w:r>
    </w:p>
    <w:p w14:paraId="4AAED626" w14:textId="77777777" w:rsidR="00D07062" w:rsidRPr="000A2EB9" w:rsidRDefault="00D07062" w:rsidP="00D07062">
      <w:pPr>
        <w:spacing w:line="360" w:lineRule="auto"/>
        <w:jc w:val="both"/>
        <w:rPr>
          <w:bCs/>
          <w:i/>
          <w:iCs/>
          <w:lang w:val="es-ES"/>
        </w:rPr>
      </w:pPr>
      <w:r w:rsidRPr="000A2EB9">
        <w:rPr>
          <w:bCs/>
          <w:i/>
          <w:iCs/>
          <w:lang w:val="es-ES"/>
        </w:rPr>
        <w:t>a) Los servicios de comedor de la empresa,</w:t>
      </w:r>
    </w:p>
    <w:p w14:paraId="305A5C61" w14:textId="2ECAD2A4" w:rsidR="00D07062" w:rsidRPr="000A2EB9" w:rsidRDefault="00D07062" w:rsidP="00D07062">
      <w:pPr>
        <w:spacing w:line="360" w:lineRule="auto"/>
        <w:jc w:val="both"/>
        <w:rPr>
          <w:b/>
          <w:i/>
          <w:iCs/>
          <w:lang w:val="es-ES"/>
        </w:rPr>
      </w:pPr>
      <w:r w:rsidRPr="000A2EB9">
        <w:rPr>
          <w:b/>
          <w:i/>
          <w:iCs/>
          <w:lang w:val="es-ES"/>
        </w:rPr>
        <w:t>b) Los vales del almuerzo, hasta un tope máximo por día de trabajo que fije la autoridad de aplicación</w:t>
      </w:r>
      <w:r w:rsidR="00F62597" w:rsidRPr="000A2EB9">
        <w:rPr>
          <w:b/>
          <w:i/>
          <w:iCs/>
          <w:lang w:val="es-ES"/>
        </w:rPr>
        <w:t xml:space="preserve"> (</w:t>
      </w:r>
      <w:r w:rsidRPr="000A2EB9">
        <w:rPr>
          <w:b/>
          <w:i/>
          <w:iCs/>
          <w:lang w:val="es-ES"/>
        </w:rPr>
        <w:t xml:space="preserve"> </w:t>
      </w:r>
      <w:r w:rsidRPr="000A2EB9">
        <w:rPr>
          <w:rStyle w:val="Refdenotaalpie"/>
          <w:b/>
          <w:i/>
          <w:iCs/>
          <w:lang w:val="es-ES"/>
        </w:rPr>
        <w:footnoteReference w:id="61"/>
      </w:r>
      <w:r w:rsidRPr="000A2EB9">
        <w:rPr>
          <w:b/>
          <w:lang w:val="es-ES"/>
        </w:rPr>
        <w:t>)</w:t>
      </w:r>
      <w:r w:rsidR="00F62597" w:rsidRPr="000A2EB9">
        <w:rPr>
          <w:b/>
          <w:lang w:val="es-ES"/>
        </w:rPr>
        <w:t>;</w:t>
      </w:r>
    </w:p>
    <w:p w14:paraId="1596B049" w14:textId="77777777" w:rsidR="00D07062" w:rsidRPr="000A2EB9" w:rsidRDefault="00D07062" w:rsidP="00D07062">
      <w:pPr>
        <w:spacing w:line="360" w:lineRule="auto"/>
        <w:jc w:val="both"/>
        <w:rPr>
          <w:b/>
          <w:i/>
          <w:iCs/>
          <w:lang w:val="es-ES"/>
        </w:rPr>
      </w:pPr>
      <w:r w:rsidRPr="000A2EB9">
        <w:rPr>
          <w:b/>
          <w:i/>
          <w:iCs/>
          <w:lang w:val="es-ES"/>
        </w:rPr>
        <w:t>c) Los vales alimentarios y las canastas de alimentos otorgados a través de empresas habilitadas por la autoridad de aplicación, hasta un tope máximo de un veinte por ciento (20 %) de la remuneración bruta de cada trabajador comprendido en convenio colectivo de trabajo y hasta un diez por ciento (10 %) en el caso de trabajadores no comprendidos;</w:t>
      </w:r>
    </w:p>
    <w:p w14:paraId="50F59917" w14:textId="51C1BE56" w:rsidR="00D07062" w:rsidRPr="000A2EB9" w:rsidRDefault="00D07062" w:rsidP="00D07062">
      <w:pPr>
        <w:spacing w:line="360" w:lineRule="auto"/>
        <w:jc w:val="both"/>
        <w:rPr>
          <w:bCs/>
          <w:i/>
          <w:iCs/>
          <w:lang w:val="es-ES"/>
        </w:rPr>
      </w:pPr>
      <w:r w:rsidRPr="000A2EB9">
        <w:rPr>
          <w:bCs/>
          <w:i/>
          <w:iCs/>
          <w:lang w:val="es-ES"/>
        </w:rPr>
        <w:t>d) Los reintegros de gastos de medicamentos y gastos médicos y odontológicos del trabajador y su familia que asumiera el empleador, previa presentación de compro</w:t>
      </w:r>
      <w:r w:rsidR="00F62597" w:rsidRPr="000A2EB9">
        <w:rPr>
          <w:bCs/>
          <w:i/>
          <w:iCs/>
          <w:lang w:val="es-ES"/>
        </w:rPr>
        <w:t>b</w:t>
      </w:r>
      <w:r w:rsidRPr="000A2EB9">
        <w:rPr>
          <w:bCs/>
          <w:i/>
          <w:iCs/>
          <w:lang w:val="es-ES"/>
        </w:rPr>
        <w:t>antes emitidos por farmacia, médico u odontólogo, debidamente documentados;</w:t>
      </w:r>
    </w:p>
    <w:p w14:paraId="78FEE683" w14:textId="34EFE1E8" w:rsidR="00D07062" w:rsidRPr="000A2EB9" w:rsidRDefault="00D07062" w:rsidP="00D07062">
      <w:pPr>
        <w:spacing w:line="360" w:lineRule="auto"/>
        <w:jc w:val="both"/>
        <w:rPr>
          <w:bCs/>
          <w:i/>
          <w:iCs/>
          <w:lang w:val="es-ES"/>
        </w:rPr>
      </w:pPr>
      <w:r w:rsidRPr="000A2EB9">
        <w:rPr>
          <w:bCs/>
          <w:i/>
          <w:iCs/>
          <w:lang w:val="es-ES"/>
        </w:rPr>
        <w:t>e) La provisión de ropa de trabajo y de cualquier otro elemento vinculado a la indu</w:t>
      </w:r>
      <w:r w:rsidR="00F62597" w:rsidRPr="000A2EB9">
        <w:rPr>
          <w:bCs/>
          <w:i/>
          <w:iCs/>
          <w:lang w:val="es-ES"/>
        </w:rPr>
        <w:t>m</w:t>
      </w:r>
      <w:r w:rsidRPr="000A2EB9">
        <w:rPr>
          <w:bCs/>
          <w:i/>
          <w:iCs/>
          <w:lang w:val="es-ES"/>
        </w:rPr>
        <w:t>entaria y al equipamiento del trabajador para uso exclusivo en el desempeño de sus tareas</w:t>
      </w:r>
      <w:r w:rsidR="00F62597" w:rsidRPr="000A2EB9">
        <w:rPr>
          <w:bCs/>
          <w:i/>
          <w:iCs/>
          <w:lang w:val="es-ES"/>
        </w:rPr>
        <w:t>;</w:t>
      </w:r>
    </w:p>
    <w:p w14:paraId="65DE23A7" w14:textId="7D84E386" w:rsidR="00D07062" w:rsidRPr="000A2EB9" w:rsidRDefault="00D07062" w:rsidP="00D07062">
      <w:pPr>
        <w:spacing w:line="360" w:lineRule="auto"/>
        <w:jc w:val="both"/>
        <w:rPr>
          <w:bCs/>
          <w:i/>
          <w:iCs/>
          <w:lang w:val="es-ES"/>
        </w:rPr>
      </w:pPr>
      <w:r w:rsidRPr="000A2EB9">
        <w:rPr>
          <w:bCs/>
          <w:i/>
          <w:iCs/>
          <w:lang w:val="es-ES"/>
        </w:rPr>
        <w:t>f) Los reintegros documentados con comprobantes de gastos de guardería y/o sala maternal, que utilicen los trabajadores con hijos de hasta seis (6) años de edad cuando la empresa no contare con esas instalaciones;</w:t>
      </w:r>
    </w:p>
    <w:p w14:paraId="160AA572" w14:textId="71BA44F0" w:rsidR="00D07062" w:rsidRPr="000A2EB9" w:rsidRDefault="00D07062" w:rsidP="00D07062">
      <w:pPr>
        <w:spacing w:line="360" w:lineRule="auto"/>
        <w:jc w:val="both"/>
        <w:rPr>
          <w:bCs/>
          <w:i/>
          <w:iCs/>
          <w:lang w:val="es-ES"/>
        </w:rPr>
      </w:pPr>
      <w:r w:rsidRPr="000A2EB9">
        <w:rPr>
          <w:bCs/>
          <w:i/>
          <w:iCs/>
          <w:lang w:val="es-ES"/>
        </w:rPr>
        <w:t>g) La provisión de útiles escolares y guardapolvos para los hijos del trabajador, otorgados al inicio del período escolar;</w:t>
      </w:r>
    </w:p>
    <w:p w14:paraId="3179CFD8" w14:textId="11F3AC38" w:rsidR="00D07062" w:rsidRPr="000A2EB9" w:rsidRDefault="00D07062" w:rsidP="00D07062">
      <w:pPr>
        <w:spacing w:line="360" w:lineRule="auto"/>
        <w:jc w:val="both"/>
        <w:rPr>
          <w:bCs/>
          <w:i/>
          <w:iCs/>
          <w:lang w:val="es-ES"/>
        </w:rPr>
      </w:pPr>
      <w:r w:rsidRPr="000A2EB9">
        <w:rPr>
          <w:bCs/>
          <w:i/>
          <w:iCs/>
          <w:lang w:val="es-ES"/>
        </w:rPr>
        <w:t>h) El otorgamiento o pago debidamente documentado de cursos o seminarios de capacitación o especialización;</w:t>
      </w:r>
    </w:p>
    <w:p w14:paraId="572405E1" w14:textId="14595A5A" w:rsidR="00D07062" w:rsidRPr="000A2EB9" w:rsidRDefault="00D07062" w:rsidP="00D07062">
      <w:pPr>
        <w:spacing w:line="360" w:lineRule="auto"/>
        <w:jc w:val="both"/>
        <w:rPr>
          <w:bCs/>
          <w:i/>
          <w:iCs/>
          <w:lang w:val="es-ES"/>
        </w:rPr>
      </w:pPr>
      <w:r w:rsidRPr="000A2EB9">
        <w:rPr>
          <w:bCs/>
          <w:i/>
          <w:iCs/>
          <w:lang w:val="es-ES"/>
        </w:rPr>
        <w:t>i) El pago de gastos de sepelio de familiares a cargo del trabajador debidamente documentados con comprobantes”</w:t>
      </w:r>
      <w:r w:rsidR="00F62597" w:rsidRPr="000A2EB9">
        <w:rPr>
          <w:bCs/>
          <w:i/>
          <w:iCs/>
          <w:lang w:val="es-ES"/>
        </w:rPr>
        <w:t xml:space="preserve"> </w:t>
      </w:r>
      <w:r w:rsidR="00F62597" w:rsidRPr="000A2EB9">
        <w:rPr>
          <w:bCs/>
          <w:lang w:val="es-ES"/>
        </w:rPr>
        <w:t>(la negrita es mía).</w:t>
      </w:r>
    </w:p>
    <w:p w14:paraId="5DBC0C73" w14:textId="6A503B79" w:rsidR="0053253F" w:rsidRPr="000A2EB9" w:rsidRDefault="00F62597" w:rsidP="0053253F">
      <w:pPr>
        <w:spacing w:line="360" w:lineRule="auto"/>
        <w:jc w:val="both"/>
        <w:rPr>
          <w:bCs/>
          <w:lang w:val="es-ES"/>
        </w:rPr>
      </w:pPr>
      <w:r w:rsidRPr="000A2EB9">
        <w:rPr>
          <w:bCs/>
          <w:lang w:val="es-ES"/>
        </w:rPr>
        <w:tab/>
        <w:t>La ley 26.341 de diciembre de 2007, finalmente, derogó los incisos b) y c) de</w:t>
      </w:r>
      <w:r w:rsidR="00AD4636" w:rsidRPr="000A2EB9">
        <w:rPr>
          <w:bCs/>
          <w:lang w:val="es-ES"/>
        </w:rPr>
        <w:t xml:space="preserve"> ese</w:t>
      </w:r>
      <w:r w:rsidRPr="000A2EB9">
        <w:rPr>
          <w:bCs/>
          <w:lang w:val="es-ES"/>
        </w:rPr>
        <w:t xml:space="preserve"> art. 103bis, de manera que los vales de almuerzo, los vales alimentarios y las canastas de alimentos dejaron de pertenecer a esa categoría de los “beneficios sociales” para quedar bajo la regla del art. 103 de la LCT, es decir que se consideran remuneración.</w:t>
      </w:r>
    </w:p>
    <w:p w14:paraId="324C4FC1" w14:textId="0B8EA606" w:rsidR="00FD278F" w:rsidRPr="000A2EB9" w:rsidRDefault="00F62597" w:rsidP="00AD4636">
      <w:pPr>
        <w:spacing w:line="360" w:lineRule="auto"/>
        <w:jc w:val="both"/>
        <w:rPr>
          <w:bCs/>
          <w:lang w:val="es-ES"/>
        </w:rPr>
      </w:pPr>
      <w:r w:rsidRPr="000A2EB9">
        <w:rPr>
          <w:bCs/>
          <w:lang w:val="es-ES"/>
        </w:rPr>
        <w:tab/>
        <w:t>Pero los problemas de sustitución de la remuneración por títulos valores</w:t>
      </w:r>
      <w:r w:rsidR="008A55C4" w:rsidRPr="000A2EB9">
        <w:rPr>
          <w:bCs/>
          <w:lang w:val="es-ES"/>
        </w:rPr>
        <w:t xml:space="preserve"> que no eran considerados para la financiación de la Seguridad Social no se limitaron a esa fuente privada sino que también contribuyó el propio Poder Ejecutivo Nacional que, </w:t>
      </w:r>
      <w:r w:rsidR="008A55C4" w:rsidRPr="000A2EB9">
        <w:rPr>
          <w:bCs/>
          <w:lang w:val="es-ES"/>
        </w:rPr>
        <w:lastRenderedPageBreak/>
        <w:t xml:space="preserve">ante una nueva situación de crisis, </w:t>
      </w:r>
      <w:r w:rsidR="00AD4636" w:rsidRPr="000A2EB9">
        <w:rPr>
          <w:bCs/>
          <w:lang w:val="es-ES"/>
        </w:rPr>
        <w:t>como luego se verá,</w:t>
      </w:r>
      <w:r w:rsidR="008A55C4" w:rsidRPr="000A2EB9">
        <w:rPr>
          <w:bCs/>
          <w:lang w:val="es-ES"/>
        </w:rPr>
        <w:t xml:space="preserve"> </w:t>
      </w:r>
      <w:r w:rsidR="00AD4636" w:rsidRPr="000A2EB9">
        <w:rPr>
          <w:bCs/>
          <w:lang w:val="es-ES"/>
        </w:rPr>
        <w:t>impuso el pago de sumas dinerarias en el empleo privado</w:t>
      </w:r>
      <w:r w:rsidR="008A55C4" w:rsidRPr="000A2EB9">
        <w:rPr>
          <w:bCs/>
          <w:lang w:val="es-ES"/>
        </w:rPr>
        <w:t xml:space="preserve"> por decreto calificando a las sumas respectivas como “no remuneratorias” y, por último, también se registraron </w:t>
      </w:r>
      <w:r w:rsidR="00AD4636" w:rsidRPr="000A2EB9">
        <w:rPr>
          <w:bCs/>
          <w:lang w:val="es-ES"/>
        </w:rPr>
        <w:t>c</w:t>
      </w:r>
      <w:r w:rsidR="008A55C4" w:rsidRPr="000A2EB9">
        <w:rPr>
          <w:bCs/>
          <w:lang w:val="es-ES"/>
        </w:rPr>
        <w:t xml:space="preserve">onvenios </w:t>
      </w:r>
      <w:r w:rsidR="00AD4636" w:rsidRPr="000A2EB9">
        <w:rPr>
          <w:bCs/>
          <w:lang w:val="es-ES"/>
        </w:rPr>
        <w:t>c</w:t>
      </w:r>
      <w:r w:rsidR="008A55C4" w:rsidRPr="000A2EB9">
        <w:rPr>
          <w:bCs/>
          <w:lang w:val="es-ES"/>
        </w:rPr>
        <w:t>olectivos en los que se pactaron aumentos consistentes en sumas acordadas pero con carácter “no remunerativo”.</w:t>
      </w:r>
    </w:p>
    <w:p w14:paraId="7A83DFDC" w14:textId="6876A11B" w:rsidR="00AD4636" w:rsidRPr="000A2EB9" w:rsidRDefault="00AD4636" w:rsidP="00AD4636">
      <w:pPr>
        <w:spacing w:line="360" w:lineRule="auto"/>
        <w:jc w:val="both"/>
        <w:rPr>
          <w:bCs/>
          <w:lang w:val="es-ES"/>
        </w:rPr>
      </w:pPr>
      <w:r w:rsidRPr="000A2EB9">
        <w:rPr>
          <w:bCs/>
          <w:lang w:val="es-ES"/>
        </w:rPr>
        <w:tab/>
        <w:t>Aclarado el contexto respectivo, paso a reseñar los 3 pronunciamientos dictados por la Corte Suprema en esta materia.</w:t>
      </w:r>
    </w:p>
    <w:p w14:paraId="7F04C16B" w14:textId="03213FEA" w:rsidR="00D20641" w:rsidRPr="000A2EB9" w:rsidRDefault="0081769D" w:rsidP="00D20641">
      <w:pPr>
        <w:spacing w:line="360" w:lineRule="auto"/>
        <w:jc w:val="both"/>
        <w:rPr>
          <w:bCs/>
          <w:lang w:val="es-ES"/>
        </w:rPr>
      </w:pPr>
      <w:r w:rsidRPr="000A2EB9">
        <w:rPr>
          <w:bCs/>
          <w:lang w:val="es-ES"/>
        </w:rPr>
        <w:tab/>
        <w:t xml:space="preserve">En la causa </w:t>
      </w:r>
      <w:r w:rsidRPr="000A2EB9">
        <w:rPr>
          <w:b/>
          <w:lang w:val="es-ES"/>
        </w:rPr>
        <w:t>“</w:t>
      </w:r>
      <w:r w:rsidR="00D20641" w:rsidRPr="000A2EB9">
        <w:rPr>
          <w:b/>
          <w:lang w:val="es-ES"/>
        </w:rPr>
        <w:t>Pérez, Aníbal Raúl c/Disco SA</w:t>
      </w:r>
      <w:r w:rsidR="00AD4636" w:rsidRPr="000A2EB9">
        <w:rPr>
          <w:bCs/>
          <w:lang w:val="es-ES"/>
        </w:rPr>
        <w:t>”</w:t>
      </w:r>
      <w:r w:rsidRPr="000A2EB9">
        <w:rPr>
          <w:bCs/>
          <w:lang w:val="es-ES"/>
        </w:rPr>
        <w:t>, sentenciada el 01</w:t>
      </w:r>
      <w:r w:rsidR="00D20641" w:rsidRPr="000A2EB9">
        <w:rPr>
          <w:bCs/>
          <w:lang w:val="es-ES"/>
        </w:rPr>
        <w:t>/</w:t>
      </w:r>
      <w:r w:rsidRPr="000A2EB9">
        <w:rPr>
          <w:bCs/>
          <w:lang w:val="es-ES"/>
        </w:rPr>
        <w:t>0</w:t>
      </w:r>
      <w:r w:rsidR="00D20641" w:rsidRPr="000A2EB9">
        <w:rPr>
          <w:bCs/>
          <w:lang w:val="es-ES"/>
        </w:rPr>
        <w:t>9/2009</w:t>
      </w:r>
      <w:r w:rsidR="00AD4636" w:rsidRPr="000A2EB9">
        <w:rPr>
          <w:bCs/>
          <w:lang w:val="es-ES"/>
        </w:rPr>
        <w:t>,</w:t>
      </w:r>
      <w:r w:rsidR="00D20641" w:rsidRPr="000A2EB9">
        <w:rPr>
          <w:bCs/>
          <w:lang w:val="es-ES"/>
        </w:rPr>
        <w:t xml:space="preserve"> </w:t>
      </w:r>
      <w:r w:rsidRPr="000A2EB9">
        <w:rPr>
          <w:bCs/>
          <w:lang w:val="es-ES"/>
        </w:rPr>
        <w:t xml:space="preserve">la Corte Suprema se ocupó de este </w:t>
      </w:r>
      <w:r w:rsidR="00EC29C0" w:rsidRPr="000A2EB9">
        <w:rPr>
          <w:bCs/>
          <w:lang w:val="es-ES"/>
        </w:rPr>
        <w:t xml:space="preserve">problema en relación al </w:t>
      </w:r>
      <w:r w:rsidR="00AD4636" w:rsidRPr="000A2EB9">
        <w:rPr>
          <w:bCs/>
          <w:lang w:val="es-ES"/>
        </w:rPr>
        <w:t xml:space="preserve">recién mencionado </w:t>
      </w:r>
      <w:r w:rsidR="00EC29C0" w:rsidRPr="000A2EB9">
        <w:rPr>
          <w:bCs/>
          <w:lang w:val="es-ES"/>
        </w:rPr>
        <w:t xml:space="preserve">art. 103bis de la LCT en relación a la entrega por </w:t>
      </w:r>
      <w:r w:rsidR="00AD4636" w:rsidRPr="000A2EB9">
        <w:rPr>
          <w:bCs/>
          <w:lang w:val="es-ES"/>
        </w:rPr>
        <w:t>el</w:t>
      </w:r>
      <w:r w:rsidR="00EC29C0" w:rsidRPr="000A2EB9">
        <w:rPr>
          <w:bCs/>
          <w:lang w:val="es-ES"/>
        </w:rPr>
        <w:t xml:space="preserve"> empleador de vales alimentarios</w:t>
      </w:r>
      <w:r w:rsidR="00A751FA" w:rsidRPr="000A2EB9">
        <w:rPr>
          <w:bCs/>
          <w:lang w:val="es-ES"/>
        </w:rPr>
        <w:t>, habiendo sostenido el pretensor</w:t>
      </w:r>
      <w:r w:rsidR="00AD4636" w:rsidRPr="000A2EB9">
        <w:rPr>
          <w:bCs/>
          <w:lang w:val="es-ES"/>
        </w:rPr>
        <w:t xml:space="preserve"> en su demanda</w:t>
      </w:r>
      <w:r w:rsidR="00A751FA" w:rsidRPr="000A2EB9">
        <w:rPr>
          <w:bCs/>
          <w:lang w:val="es-ES"/>
        </w:rPr>
        <w:t xml:space="preserve"> que los valores económicos de esos títulos debieron computarse como salario a los fines de calcular los aguinaldos y, sobre todo, la indemnización por despido.</w:t>
      </w:r>
    </w:p>
    <w:p w14:paraId="1FD80274" w14:textId="0E729D15" w:rsidR="00A751FA" w:rsidRPr="000A2EB9" w:rsidRDefault="00A751FA" w:rsidP="00D20641">
      <w:pPr>
        <w:spacing w:line="360" w:lineRule="auto"/>
        <w:jc w:val="both"/>
        <w:rPr>
          <w:bCs/>
          <w:lang w:val="es-ES"/>
        </w:rPr>
      </w:pPr>
      <w:r w:rsidRPr="000A2EB9">
        <w:rPr>
          <w:bCs/>
          <w:lang w:val="es-ES"/>
        </w:rPr>
        <w:tab/>
        <w:t>La Corte Suprema se expidió con dos bloques de votos concurrentes que, en términos generales, pueden considerarse totalmente concordantes</w:t>
      </w:r>
      <w:r w:rsidR="001C5379" w:rsidRPr="000A2EB9">
        <w:rPr>
          <w:bCs/>
          <w:lang w:val="es-ES"/>
        </w:rPr>
        <w:t xml:space="preserve"> en la solución y en los profusos fundamentos</w:t>
      </w:r>
      <w:r w:rsidRPr="000A2EB9">
        <w:rPr>
          <w:bCs/>
          <w:lang w:val="es-ES"/>
        </w:rPr>
        <w:t>. Por un lado, formaron un bloque los ministros Lorenzetti, Petracchi, Maqueda y Zaffaroni, mientras que el otro bloque lo constituyeron los jueces Highton, Fayt y Argibay.</w:t>
      </w:r>
    </w:p>
    <w:p w14:paraId="270E4A3D" w14:textId="321F77ED" w:rsidR="00A751FA" w:rsidRPr="000A2EB9" w:rsidRDefault="00A751FA" w:rsidP="001C5379">
      <w:pPr>
        <w:spacing w:line="360" w:lineRule="auto"/>
        <w:jc w:val="both"/>
        <w:rPr>
          <w:bCs/>
          <w:lang w:val="es-ES"/>
        </w:rPr>
      </w:pPr>
      <w:r w:rsidRPr="000A2EB9">
        <w:rPr>
          <w:bCs/>
          <w:lang w:val="es-ES"/>
        </w:rPr>
        <w:tab/>
      </w:r>
      <w:r w:rsidR="001C5379" w:rsidRPr="000A2EB9">
        <w:rPr>
          <w:bCs/>
          <w:lang w:val="es-ES"/>
        </w:rPr>
        <w:t>El fallo de primera instancia había resultado favorable al planteo del Sr. Pérez mas fue revocado por la Sala III de la CNAT y ello motivó la intervención del Máximo Tribunal por la vía del recurso extraordinario.</w:t>
      </w:r>
    </w:p>
    <w:p w14:paraId="7C487C63" w14:textId="227E7528" w:rsidR="001C5379" w:rsidRPr="000A2EB9" w:rsidRDefault="001C5379" w:rsidP="001C5379">
      <w:pPr>
        <w:spacing w:line="360" w:lineRule="auto"/>
        <w:jc w:val="both"/>
        <w:rPr>
          <w:bCs/>
          <w:lang w:val="es-ES"/>
        </w:rPr>
      </w:pPr>
      <w:r w:rsidRPr="000A2EB9">
        <w:rPr>
          <w:bCs/>
          <w:lang w:val="es-ES"/>
        </w:rPr>
        <w:tab/>
        <w:t xml:space="preserve">El voto mayoritario recordó el sentido del principio protectorio y el plexo de derechos que de éste deriva, así como los enunciados en las declaraciones y tratados con jerarquía constitucional </w:t>
      </w:r>
      <w:r w:rsidR="00D91591" w:rsidRPr="000A2EB9">
        <w:rPr>
          <w:bCs/>
          <w:lang w:val="es-ES"/>
        </w:rPr>
        <w:t>-</w:t>
      </w:r>
      <w:r w:rsidRPr="000A2EB9">
        <w:rPr>
          <w:bCs/>
          <w:lang w:val="es-ES"/>
        </w:rPr>
        <w:t>citados en el voto bajo reseña</w:t>
      </w:r>
      <w:r w:rsidR="00D91591" w:rsidRPr="000A2EB9">
        <w:rPr>
          <w:bCs/>
          <w:lang w:val="es-ES"/>
        </w:rPr>
        <w:t>- y</w:t>
      </w:r>
      <w:r w:rsidRPr="000A2EB9">
        <w:rPr>
          <w:bCs/>
          <w:lang w:val="es-ES"/>
        </w:rPr>
        <w:t xml:space="preserve"> destaca</w:t>
      </w:r>
      <w:r w:rsidR="00D91591" w:rsidRPr="000A2EB9">
        <w:rPr>
          <w:bCs/>
          <w:lang w:val="es-ES"/>
        </w:rPr>
        <w:t>ron los jueces</w:t>
      </w:r>
      <w:r w:rsidRPr="000A2EB9">
        <w:rPr>
          <w:bCs/>
          <w:lang w:val="es-ES"/>
        </w:rPr>
        <w:t xml:space="preserve"> que han hecho del trabajador un sujeto de "preferente tutela constitucional"</w:t>
      </w:r>
      <w:r w:rsidR="00D91591" w:rsidRPr="000A2EB9">
        <w:rPr>
          <w:bCs/>
          <w:lang w:val="es-ES"/>
        </w:rPr>
        <w:t xml:space="preserve">, </w:t>
      </w:r>
      <w:r w:rsidRPr="000A2EB9">
        <w:rPr>
          <w:bCs/>
          <w:lang w:val="es-ES"/>
        </w:rPr>
        <w:t xml:space="preserve"> advirtie</w:t>
      </w:r>
      <w:r w:rsidR="00D91591" w:rsidRPr="000A2EB9">
        <w:rPr>
          <w:bCs/>
          <w:lang w:val="es-ES"/>
        </w:rPr>
        <w:t xml:space="preserve">ndo </w:t>
      </w:r>
      <w:r w:rsidRPr="000A2EB9">
        <w:rPr>
          <w:bCs/>
          <w:lang w:val="es-ES"/>
        </w:rPr>
        <w:t>que la proyección de dicho principio y de tales derechos perderían buena parte de su sentido y efectividad si no expresaran una conceptualización del salario que posibilitara su identificación.</w:t>
      </w:r>
    </w:p>
    <w:p w14:paraId="0EFDAFDB" w14:textId="27A88312" w:rsidR="001C5379" w:rsidRPr="000A2EB9" w:rsidRDefault="00E65586" w:rsidP="00226F9F">
      <w:pPr>
        <w:spacing w:line="360" w:lineRule="auto"/>
        <w:ind w:firstLine="720"/>
        <w:jc w:val="both"/>
        <w:rPr>
          <w:bCs/>
          <w:lang w:val="es-ES"/>
        </w:rPr>
      </w:pPr>
      <w:r w:rsidRPr="000A2EB9">
        <w:rPr>
          <w:bCs/>
          <w:lang w:val="es-ES"/>
        </w:rPr>
        <w:t xml:space="preserve">Sostuvieron los jueces Lorenzetti, Petracchi, Maqueda y Zaffaroni en su voto conjunto que el </w:t>
      </w:r>
      <w:r w:rsidR="001C5379" w:rsidRPr="000A2EB9">
        <w:rPr>
          <w:bCs/>
          <w:lang w:val="es-ES"/>
        </w:rPr>
        <w:t>P</w:t>
      </w:r>
      <w:r w:rsidR="002A31F6" w:rsidRPr="000A2EB9">
        <w:rPr>
          <w:bCs/>
          <w:lang w:val="es-ES"/>
        </w:rPr>
        <w:t xml:space="preserve">acto </w:t>
      </w:r>
      <w:r w:rsidR="001C5379" w:rsidRPr="000A2EB9">
        <w:rPr>
          <w:bCs/>
          <w:lang w:val="es-ES"/>
        </w:rPr>
        <w:t>I</w:t>
      </w:r>
      <w:r w:rsidR="002A31F6" w:rsidRPr="000A2EB9">
        <w:rPr>
          <w:bCs/>
          <w:lang w:val="es-ES"/>
        </w:rPr>
        <w:t xml:space="preserve">nternacional de </w:t>
      </w:r>
      <w:r w:rsidR="001C5379" w:rsidRPr="000A2EB9">
        <w:rPr>
          <w:bCs/>
          <w:lang w:val="es-ES"/>
        </w:rPr>
        <w:t>D</w:t>
      </w:r>
      <w:r w:rsidR="002A31F6" w:rsidRPr="000A2EB9">
        <w:rPr>
          <w:bCs/>
          <w:lang w:val="es-ES"/>
        </w:rPr>
        <w:t xml:space="preserve">erechos </w:t>
      </w:r>
      <w:r w:rsidR="001C5379" w:rsidRPr="000A2EB9">
        <w:rPr>
          <w:bCs/>
          <w:lang w:val="es-ES"/>
        </w:rPr>
        <w:t>E</w:t>
      </w:r>
      <w:r w:rsidR="002A31F6" w:rsidRPr="000A2EB9">
        <w:rPr>
          <w:bCs/>
          <w:lang w:val="es-ES"/>
        </w:rPr>
        <w:t xml:space="preserve">conómicos, Sociales y </w:t>
      </w:r>
      <w:r w:rsidR="001C5379" w:rsidRPr="000A2EB9">
        <w:rPr>
          <w:bCs/>
          <w:lang w:val="es-ES"/>
        </w:rPr>
        <w:t>C</w:t>
      </w:r>
      <w:r w:rsidR="002A31F6" w:rsidRPr="000A2EB9">
        <w:rPr>
          <w:bCs/>
          <w:lang w:val="es-ES"/>
        </w:rPr>
        <w:t xml:space="preserve">ulturales </w:t>
      </w:r>
      <w:r w:rsidR="001C5379" w:rsidRPr="000A2EB9">
        <w:rPr>
          <w:bCs/>
          <w:lang w:val="es-ES"/>
        </w:rPr>
        <w:t>proporciona</w:t>
      </w:r>
      <w:r w:rsidRPr="000A2EB9">
        <w:rPr>
          <w:bCs/>
          <w:lang w:val="es-ES"/>
        </w:rPr>
        <w:t xml:space="preserve"> </w:t>
      </w:r>
      <w:r w:rsidR="001C5379" w:rsidRPr="000A2EB9">
        <w:rPr>
          <w:bCs/>
          <w:lang w:val="es-ES"/>
        </w:rPr>
        <w:t xml:space="preserve">pautas decisivas para esclarecer la conceptualización </w:t>
      </w:r>
      <w:r w:rsidRPr="000A2EB9">
        <w:rPr>
          <w:bCs/>
          <w:lang w:val="es-ES"/>
        </w:rPr>
        <w:t xml:space="preserve">del salario </w:t>
      </w:r>
      <w:r w:rsidR="00226F9F" w:rsidRPr="000A2EB9">
        <w:rPr>
          <w:bCs/>
          <w:lang w:val="es-ES"/>
        </w:rPr>
        <w:t xml:space="preserve">pues el art. 6 de dicho Pacto </w:t>
      </w:r>
      <w:r w:rsidR="001C5379" w:rsidRPr="000A2EB9">
        <w:rPr>
          <w:bCs/>
          <w:lang w:val="es-ES"/>
        </w:rPr>
        <w:t>dispone que el derecho</w:t>
      </w:r>
      <w:r w:rsidR="00226F9F" w:rsidRPr="000A2EB9">
        <w:rPr>
          <w:bCs/>
          <w:lang w:val="es-ES"/>
        </w:rPr>
        <w:t xml:space="preserve"> </w:t>
      </w:r>
      <w:r w:rsidR="001C5379" w:rsidRPr="000A2EB9">
        <w:rPr>
          <w:bCs/>
          <w:lang w:val="es-ES"/>
        </w:rPr>
        <w:t>a trabajar "</w:t>
      </w:r>
      <w:r w:rsidR="001C5379" w:rsidRPr="000A2EB9">
        <w:rPr>
          <w:bCs/>
          <w:i/>
          <w:iCs/>
          <w:lang w:val="es-ES"/>
        </w:rPr>
        <w:t>comprende el derecho de toda persona de tener la</w:t>
      </w:r>
      <w:r w:rsidR="00226F9F" w:rsidRPr="000A2EB9">
        <w:rPr>
          <w:bCs/>
          <w:i/>
          <w:iCs/>
          <w:lang w:val="es-ES"/>
        </w:rPr>
        <w:t xml:space="preserve"> oportunidad d</w:t>
      </w:r>
      <w:r w:rsidR="001C5379" w:rsidRPr="000A2EB9">
        <w:rPr>
          <w:bCs/>
          <w:i/>
          <w:iCs/>
          <w:lang w:val="es-ES"/>
        </w:rPr>
        <w:t>e</w:t>
      </w:r>
      <w:r w:rsidR="00226F9F" w:rsidRPr="000A2EB9">
        <w:rPr>
          <w:bCs/>
          <w:i/>
          <w:iCs/>
          <w:lang w:val="es-ES"/>
        </w:rPr>
        <w:t xml:space="preserve"> ganarse la vida </w:t>
      </w:r>
      <w:r w:rsidR="001C5379" w:rsidRPr="000A2EB9">
        <w:rPr>
          <w:bCs/>
          <w:i/>
          <w:iCs/>
          <w:lang w:val="es-ES"/>
        </w:rPr>
        <w:t>mediante un trabajo</w:t>
      </w:r>
      <w:r w:rsidR="00226F9F" w:rsidRPr="000A2EB9">
        <w:rPr>
          <w:bCs/>
          <w:i/>
          <w:iCs/>
          <w:lang w:val="es-ES"/>
        </w:rPr>
        <w:t>…</w:t>
      </w:r>
      <w:r w:rsidR="001C5379" w:rsidRPr="000A2EB9">
        <w:rPr>
          <w:bCs/>
          <w:lang w:val="es-ES"/>
        </w:rPr>
        <w:t>"</w:t>
      </w:r>
      <w:r w:rsidR="00226F9F" w:rsidRPr="000A2EB9">
        <w:rPr>
          <w:bCs/>
          <w:lang w:val="es-ES"/>
        </w:rPr>
        <w:t xml:space="preserve"> y el art. 7 </w:t>
      </w:r>
      <w:r w:rsidR="001C5379" w:rsidRPr="000A2EB9">
        <w:rPr>
          <w:bCs/>
          <w:lang w:val="es-ES"/>
        </w:rPr>
        <w:t>califica, cuando</w:t>
      </w:r>
      <w:r w:rsidR="00226F9F" w:rsidRPr="000A2EB9">
        <w:rPr>
          <w:bCs/>
          <w:lang w:val="es-ES"/>
        </w:rPr>
        <w:t xml:space="preserve"> </w:t>
      </w:r>
      <w:r w:rsidR="001C5379" w:rsidRPr="000A2EB9">
        <w:rPr>
          <w:bCs/>
          <w:lang w:val="es-ES"/>
        </w:rPr>
        <w:t>dicha oportunidad se materializa mediante un trabajo en</w:t>
      </w:r>
      <w:r w:rsidR="00226F9F" w:rsidRPr="000A2EB9">
        <w:rPr>
          <w:bCs/>
          <w:lang w:val="es-ES"/>
        </w:rPr>
        <w:t xml:space="preserve"> </w:t>
      </w:r>
      <w:r w:rsidR="001C5379" w:rsidRPr="000A2EB9">
        <w:rPr>
          <w:bCs/>
          <w:lang w:val="es-ES"/>
        </w:rPr>
        <w:t>relación de dependencia, como "salario" o "remuneración" la</w:t>
      </w:r>
      <w:r w:rsidR="00226F9F" w:rsidRPr="000A2EB9">
        <w:rPr>
          <w:bCs/>
          <w:lang w:val="es-ES"/>
        </w:rPr>
        <w:t xml:space="preserve"> </w:t>
      </w:r>
      <w:r w:rsidR="001C5379" w:rsidRPr="000A2EB9">
        <w:rPr>
          <w:bCs/>
          <w:lang w:val="es-ES"/>
        </w:rPr>
        <w:t>prestación debida por el empleador al empleado,</w:t>
      </w:r>
      <w:r w:rsidR="00226F9F" w:rsidRPr="000A2EB9">
        <w:rPr>
          <w:bCs/>
          <w:lang w:val="es-ES"/>
        </w:rPr>
        <w:t xml:space="preserve"> lo que llevó a esos magistrados a </w:t>
      </w:r>
      <w:r w:rsidR="001C5379" w:rsidRPr="000A2EB9">
        <w:rPr>
          <w:bCs/>
          <w:lang w:val="es-ES"/>
        </w:rPr>
        <w:t>concluir</w:t>
      </w:r>
      <w:r w:rsidR="00226F9F" w:rsidRPr="000A2EB9">
        <w:rPr>
          <w:bCs/>
          <w:lang w:val="es-ES"/>
        </w:rPr>
        <w:t xml:space="preserve"> </w:t>
      </w:r>
      <w:r w:rsidR="001C5379" w:rsidRPr="000A2EB9">
        <w:rPr>
          <w:bCs/>
          <w:lang w:val="es-ES"/>
        </w:rPr>
        <w:t>que resulta inadmisible que caiga fuera</w:t>
      </w:r>
      <w:r w:rsidR="00226F9F" w:rsidRPr="000A2EB9">
        <w:rPr>
          <w:bCs/>
          <w:lang w:val="es-ES"/>
        </w:rPr>
        <w:t xml:space="preserve"> </w:t>
      </w:r>
      <w:r w:rsidR="001C5379" w:rsidRPr="000A2EB9">
        <w:rPr>
          <w:bCs/>
          <w:lang w:val="es-ES"/>
        </w:rPr>
        <w:t>del alcance de estas últimas denominaciones una prestación</w:t>
      </w:r>
    </w:p>
    <w:p w14:paraId="46D15DC4" w14:textId="72EDD42E" w:rsidR="001C5379" w:rsidRPr="000A2EB9" w:rsidRDefault="001C5379" w:rsidP="001C5379">
      <w:pPr>
        <w:spacing w:line="360" w:lineRule="auto"/>
        <w:jc w:val="both"/>
        <w:rPr>
          <w:bCs/>
          <w:lang w:val="es-ES"/>
        </w:rPr>
      </w:pPr>
      <w:r w:rsidRPr="000A2EB9">
        <w:rPr>
          <w:bCs/>
          <w:lang w:val="es-ES"/>
        </w:rPr>
        <w:t>que, como los vales alimentarios en cuestión, entrañó para el</w:t>
      </w:r>
      <w:r w:rsidR="00226F9F" w:rsidRPr="000A2EB9">
        <w:rPr>
          <w:bCs/>
          <w:lang w:val="es-ES"/>
        </w:rPr>
        <w:t xml:space="preserve"> </w:t>
      </w:r>
      <w:r w:rsidRPr="000A2EB9">
        <w:rPr>
          <w:bCs/>
          <w:lang w:val="es-ES"/>
        </w:rPr>
        <w:t>actor una "ganancia" y que</w:t>
      </w:r>
      <w:r w:rsidR="00226F9F" w:rsidRPr="000A2EB9">
        <w:rPr>
          <w:bCs/>
          <w:lang w:val="es-ES"/>
        </w:rPr>
        <w:t xml:space="preserve"> </w:t>
      </w:r>
      <w:r w:rsidRPr="000A2EB9">
        <w:rPr>
          <w:bCs/>
          <w:lang w:val="es-ES"/>
        </w:rPr>
        <w:t>sólo encontró motivo o resultó consecuencia del</w:t>
      </w:r>
      <w:r w:rsidR="00226F9F" w:rsidRPr="000A2EB9">
        <w:rPr>
          <w:bCs/>
          <w:lang w:val="es-ES"/>
        </w:rPr>
        <w:t xml:space="preserve"> </w:t>
      </w:r>
      <w:r w:rsidRPr="000A2EB9">
        <w:rPr>
          <w:bCs/>
          <w:lang w:val="es-ES"/>
        </w:rPr>
        <w:t>mentado contrato o relación de empleo.</w:t>
      </w:r>
    </w:p>
    <w:p w14:paraId="037E0554" w14:textId="4C788F3D" w:rsidR="0081769D" w:rsidRPr="000A2EB9" w:rsidRDefault="00226F9F" w:rsidP="001C5379">
      <w:pPr>
        <w:spacing w:line="360" w:lineRule="auto"/>
        <w:jc w:val="both"/>
        <w:rPr>
          <w:bCs/>
          <w:lang w:val="es-ES"/>
        </w:rPr>
      </w:pPr>
      <w:r w:rsidRPr="000A2EB9">
        <w:rPr>
          <w:bCs/>
          <w:lang w:val="es-ES"/>
        </w:rPr>
        <w:t xml:space="preserve"> </w:t>
      </w:r>
      <w:r w:rsidRPr="000A2EB9">
        <w:rPr>
          <w:bCs/>
          <w:lang w:val="es-ES"/>
        </w:rPr>
        <w:tab/>
      </w:r>
      <w:r w:rsidR="00DC535E" w:rsidRPr="000A2EB9">
        <w:rPr>
          <w:bCs/>
          <w:lang w:val="es-ES"/>
        </w:rPr>
        <w:t xml:space="preserve">Sostuvieron estos jueces que denominar </w:t>
      </w:r>
      <w:r w:rsidR="001C5379" w:rsidRPr="000A2EB9">
        <w:rPr>
          <w:bCs/>
          <w:lang w:val="es-ES"/>
        </w:rPr>
        <w:t>a dichos vales</w:t>
      </w:r>
      <w:r w:rsidR="00DC535E" w:rsidRPr="000A2EB9">
        <w:rPr>
          <w:bCs/>
          <w:lang w:val="es-ES"/>
        </w:rPr>
        <w:t xml:space="preserve"> </w:t>
      </w:r>
      <w:r w:rsidR="001C5379" w:rsidRPr="000A2EB9">
        <w:rPr>
          <w:bCs/>
          <w:lang w:val="es-ES"/>
        </w:rPr>
        <w:t>"</w:t>
      </w:r>
      <w:r w:rsidR="001C5379" w:rsidRPr="000A2EB9">
        <w:rPr>
          <w:bCs/>
          <w:i/>
          <w:iCs/>
          <w:lang w:val="es-ES"/>
        </w:rPr>
        <w:t>beneficios sociales</w:t>
      </w:r>
      <w:r w:rsidR="001C5379" w:rsidRPr="000A2EB9">
        <w:rPr>
          <w:bCs/>
          <w:lang w:val="es-ES"/>
        </w:rPr>
        <w:t>", "</w:t>
      </w:r>
      <w:r w:rsidR="001C5379" w:rsidRPr="000A2EB9">
        <w:rPr>
          <w:bCs/>
          <w:i/>
          <w:iCs/>
          <w:lang w:val="es-ES"/>
        </w:rPr>
        <w:t>prestaciones de naturaleza jurídica de seguridad</w:t>
      </w:r>
      <w:r w:rsidRPr="000A2EB9">
        <w:rPr>
          <w:bCs/>
          <w:i/>
          <w:iCs/>
          <w:lang w:val="es-ES"/>
        </w:rPr>
        <w:t xml:space="preserve"> </w:t>
      </w:r>
      <w:r w:rsidR="001C5379" w:rsidRPr="000A2EB9">
        <w:rPr>
          <w:bCs/>
          <w:i/>
          <w:iCs/>
          <w:lang w:val="es-ES"/>
        </w:rPr>
        <w:t>social, no remunerativas</w:t>
      </w:r>
      <w:r w:rsidR="001C5379" w:rsidRPr="000A2EB9">
        <w:rPr>
          <w:bCs/>
          <w:lang w:val="es-ES"/>
        </w:rPr>
        <w:t xml:space="preserve">"; mutar </w:t>
      </w:r>
      <w:r w:rsidR="001C5379" w:rsidRPr="000A2EB9">
        <w:rPr>
          <w:bCs/>
          <w:lang w:val="es-ES"/>
        </w:rPr>
        <w:lastRenderedPageBreak/>
        <w:t>al trabajador en beneficiario</w:t>
      </w:r>
      <w:r w:rsidR="00DC535E" w:rsidRPr="000A2EB9">
        <w:rPr>
          <w:bCs/>
          <w:lang w:val="es-ES"/>
        </w:rPr>
        <w:t xml:space="preserve"> </w:t>
      </w:r>
      <w:r w:rsidR="001C5379" w:rsidRPr="000A2EB9">
        <w:rPr>
          <w:bCs/>
          <w:lang w:val="es-ES"/>
        </w:rPr>
        <w:t>y al empleador en beneficiador; suplantar como causa del</w:t>
      </w:r>
      <w:r w:rsidRPr="000A2EB9">
        <w:rPr>
          <w:bCs/>
          <w:lang w:val="es-ES"/>
        </w:rPr>
        <w:t xml:space="preserve"> </w:t>
      </w:r>
      <w:r w:rsidR="001C5379" w:rsidRPr="000A2EB9">
        <w:rPr>
          <w:bCs/>
          <w:lang w:val="es-ES"/>
        </w:rPr>
        <w:t>crédito o ganancia al contrato de empleo por un acto del empleador ajeno a este último</w:t>
      </w:r>
      <w:r w:rsidR="00DC535E" w:rsidRPr="000A2EB9">
        <w:rPr>
          <w:bCs/>
          <w:lang w:val="es-ES"/>
        </w:rPr>
        <w:t xml:space="preserve"> no resulta aceptable puesto que l</w:t>
      </w:r>
      <w:r w:rsidR="001C5379" w:rsidRPr="000A2EB9">
        <w:rPr>
          <w:bCs/>
          <w:lang w:val="es-ES"/>
        </w:rPr>
        <w:t>a naturaleza jurídica de una institución debe ser</w:t>
      </w:r>
      <w:r w:rsidR="00DC535E" w:rsidRPr="000A2EB9">
        <w:rPr>
          <w:bCs/>
          <w:lang w:val="es-ES"/>
        </w:rPr>
        <w:t xml:space="preserve"> </w:t>
      </w:r>
      <w:r w:rsidR="001C5379" w:rsidRPr="000A2EB9">
        <w:rPr>
          <w:bCs/>
          <w:lang w:val="es-ES"/>
        </w:rPr>
        <w:t>definida, fundamentalmente, por los elementos que la constituyen, con independencia del nombre que el legislador, o los</w:t>
      </w:r>
      <w:r w:rsidR="00DC535E" w:rsidRPr="000A2EB9">
        <w:rPr>
          <w:bCs/>
          <w:lang w:val="es-ES"/>
        </w:rPr>
        <w:t xml:space="preserve"> </w:t>
      </w:r>
      <w:r w:rsidR="001C5379" w:rsidRPr="000A2EB9">
        <w:rPr>
          <w:bCs/>
          <w:lang w:val="es-ES"/>
        </w:rPr>
        <w:t>particulares, le atribuyan</w:t>
      </w:r>
      <w:r w:rsidR="00DC535E" w:rsidRPr="000A2EB9">
        <w:rPr>
          <w:bCs/>
          <w:lang w:val="es-ES"/>
        </w:rPr>
        <w:t xml:space="preserve">, </w:t>
      </w:r>
      <w:r w:rsidR="001C5379" w:rsidRPr="000A2EB9">
        <w:rPr>
          <w:bCs/>
          <w:lang w:val="es-ES"/>
        </w:rPr>
        <w:t>sobre todo cuando cualquier limitación constitucional que se</w:t>
      </w:r>
      <w:r w:rsidR="00DC535E" w:rsidRPr="000A2EB9">
        <w:rPr>
          <w:bCs/>
          <w:lang w:val="es-ES"/>
        </w:rPr>
        <w:t xml:space="preserve"> </w:t>
      </w:r>
      <w:r w:rsidR="001C5379" w:rsidRPr="000A2EB9">
        <w:rPr>
          <w:bCs/>
          <w:lang w:val="es-ES"/>
        </w:rPr>
        <w:t>pretendiese ignorar bajo el ropaje del</w:t>
      </w:r>
      <w:r w:rsidR="00DC535E" w:rsidRPr="000A2EB9">
        <w:rPr>
          <w:bCs/>
          <w:lang w:val="es-ES"/>
        </w:rPr>
        <w:t xml:space="preserve"> nomen juris </w:t>
      </w:r>
      <w:r w:rsidR="001C5379" w:rsidRPr="000A2EB9">
        <w:rPr>
          <w:bCs/>
          <w:lang w:val="es-ES"/>
        </w:rPr>
        <w:t>sería</w:t>
      </w:r>
      <w:r w:rsidR="00DC535E" w:rsidRPr="000A2EB9">
        <w:rPr>
          <w:bCs/>
          <w:lang w:val="es-ES"/>
        </w:rPr>
        <w:t xml:space="preserve"> </w:t>
      </w:r>
      <w:r w:rsidR="001C5379" w:rsidRPr="000A2EB9">
        <w:rPr>
          <w:bCs/>
          <w:lang w:val="es-ES"/>
        </w:rPr>
        <w:t>inconstitucional</w:t>
      </w:r>
      <w:r w:rsidR="00DC535E" w:rsidRPr="000A2EB9">
        <w:rPr>
          <w:bCs/>
          <w:lang w:val="es-ES"/>
        </w:rPr>
        <w:t>.</w:t>
      </w:r>
    </w:p>
    <w:p w14:paraId="481C07DA" w14:textId="5D960731" w:rsidR="00DC535E" w:rsidRPr="000A2EB9" w:rsidRDefault="0033058F" w:rsidP="0033058F">
      <w:pPr>
        <w:spacing w:line="360" w:lineRule="auto"/>
        <w:jc w:val="both"/>
        <w:rPr>
          <w:bCs/>
          <w:lang w:val="es-ES"/>
        </w:rPr>
      </w:pPr>
      <w:r w:rsidRPr="000A2EB9">
        <w:rPr>
          <w:bCs/>
          <w:lang w:val="es-ES"/>
        </w:rPr>
        <w:tab/>
        <w:t>Argumentaron, a continuación</w:t>
      </w:r>
      <w:r w:rsidR="00D91591" w:rsidRPr="000A2EB9">
        <w:rPr>
          <w:bCs/>
          <w:lang w:val="es-ES"/>
        </w:rPr>
        <w:t xml:space="preserve"> y en lo que a mi juicio es el núcleo de la fundamentación</w:t>
      </w:r>
      <w:r w:rsidRPr="000A2EB9">
        <w:rPr>
          <w:bCs/>
          <w:lang w:val="es-ES"/>
        </w:rPr>
        <w:t xml:space="preserve">, que </w:t>
      </w:r>
      <w:r w:rsidRPr="000A2EB9">
        <w:rPr>
          <w:bCs/>
          <w:i/>
          <w:iCs/>
          <w:lang w:val="es-ES"/>
        </w:rPr>
        <w:t>la norma cuestionada no proporciona elemento alguno que, desde el ángulo conceptual, autorice a diferenciar a la concesión de los vales alimentarios asumida por el empleador de un mero aumento de salarios adoptado a iniciativa de éste, así como que tampoco esto surge expuesto de las alegaciones de la demandada ni de las circunstancias del proceso, por lo que el distingo no es más que un “ropaje” para esconder la esencia salarial de esos valores</w:t>
      </w:r>
      <w:r w:rsidRPr="000A2EB9">
        <w:rPr>
          <w:bCs/>
          <w:lang w:val="es-ES"/>
        </w:rPr>
        <w:t>.</w:t>
      </w:r>
    </w:p>
    <w:p w14:paraId="2B50D048" w14:textId="5159089D" w:rsidR="0033058F" w:rsidRPr="000A2EB9" w:rsidRDefault="0033058F" w:rsidP="00A07FBE">
      <w:pPr>
        <w:spacing w:line="360" w:lineRule="auto"/>
        <w:ind w:firstLine="720"/>
        <w:jc w:val="both"/>
        <w:rPr>
          <w:bCs/>
          <w:lang w:val="es-ES"/>
        </w:rPr>
      </w:pPr>
      <w:r w:rsidRPr="000A2EB9">
        <w:rPr>
          <w:bCs/>
          <w:lang w:val="es-ES"/>
        </w:rPr>
        <w:t>Y añadieron que la</w:t>
      </w:r>
      <w:r w:rsidR="00D91591" w:rsidRPr="000A2EB9">
        <w:rPr>
          <w:bCs/>
          <w:lang w:val="es-ES"/>
        </w:rPr>
        <w:t xml:space="preserve">s </w:t>
      </w:r>
      <w:r w:rsidRPr="000A2EB9">
        <w:rPr>
          <w:bCs/>
          <w:lang w:val="es-ES"/>
        </w:rPr>
        <w:t>voluntad</w:t>
      </w:r>
      <w:r w:rsidR="00D91591" w:rsidRPr="000A2EB9">
        <w:rPr>
          <w:bCs/>
          <w:lang w:val="es-ES"/>
        </w:rPr>
        <w:t>es</w:t>
      </w:r>
      <w:r w:rsidRPr="000A2EB9">
        <w:rPr>
          <w:bCs/>
          <w:lang w:val="es-ES"/>
        </w:rPr>
        <w:t xml:space="preserve"> del legislador o del empleador son inválidas para modificar el título con el cual se corresponde una prestación a la luz constitucional</w:t>
      </w:r>
      <w:r w:rsidR="00A07FBE" w:rsidRPr="000A2EB9">
        <w:rPr>
          <w:bCs/>
          <w:lang w:val="es-ES"/>
        </w:rPr>
        <w:t>, recordando que la relevancia de todo lo atinente al salario supera los límites del llamado mercado de trabajo y somete a éste a las exigencias superiores de la protección de la dignidad de la persona y del bien común.</w:t>
      </w:r>
    </w:p>
    <w:p w14:paraId="62AE3020" w14:textId="00A59BD5" w:rsidR="00A07FBE" w:rsidRPr="000A2EB9" w:rsidRDefault="00A07FBE" w:rsidP="00A07FBE">
      <w:pPr>
        <w:spacing w:line="360" w:lineRule="auto"/>
        <w:ind w:firstLine="720"/>
        <w:jc w:val="both"/>
        <w:rPr>
          <w:bCs/>
          <w:lang w:val="es-ES"/>
        </w:rPr>
      </w:pPr>
      <w:r w:rsidRPr="000A2EB9">
        <w:rPr>
          <w:bCs/>
          <w:lang w:val="es-ES"/>
        </w:rPr>
        <w:t xml:space="preserve">Hicieron especial hincapié estos jueces en que es preciso y necesario que a la persona trabajadora le sea reconocido que se ha "ganado la vida" en buena ley, que toda ganancia que obtiene del empleador con motivo o a consecuencia del empleo, resulta un salario, una contraprestación de este último sujeto y por esta última causa. </w:t>
      </w:r>
    </w:p>
    <w:p w14:paraId="286F46A2" w14:textId="318473DC" w:rsidR="000D1630" w:rsidRPr="000A2EB9" w:rsidRDefault="00A07FBE" w:rsidP="00D20641">
      <w:pPr>
        <w:spacing w:line="360" w:lineRule="auto"/>
        <w:jc w:val="both"/>
        <w:rPr>
          <w:bCs/>
          <w:lang w:val="es-ES"/>
        </w:rPr>
      </w:pPr>
      <w:r w:rsidRPr="000A2EB9">
        <w:rPr>
          <w:bCs/>
          <w:lang w:val="es-ES"/>
        </w:rPr>
        <w:tab/>
        <w:t xml:space="preserve">Para fundar más aún su postura, los jueces recogieron las observaciones que reiteradamente recibió Argentina por </w:t>
      </w:r>
      <w:r w:rsidR="000D1630" w:rsidRPr="000A2EB9">
        <w:rPr>
          <w:bCs/>
          <w:lang w:val="es-ES"/>
        </w:rPr>
        <w:t>la Comisión</w:t>
      </w:r>
      <w:r w:rsidRPr="000A2EB9">
        <w:rPr>
          <w:bCs/>
          <w:lang w:val="es-ES"/>
        </w:rPr>
        <w:t xml:space="preserve"> de Expertos en Aplicación de Convenios y Recomendaciones de la OIT, a propósito del Convenio 95, </w:t>
      </w:r>
      <w:r w:rsidR="000D1630" w:rsidRPr="000A2EB9">
        <w:rPr>
          <w:bCs/>
          <w:lang w:val="es-ES"/>
        </w:rPr>
        <w:t>cuando en e</w:t>
      </w:r>
      <w:r w:rsidRPr="000A2EB9">
        <w:rPr>
          <w:bCs/>
          <w:lang w:val="es-ES"/>
        </w:rPr>
        <w:t xml:space="preserve">l "Estudio general sobre protección del salario", de 2003, </w:t>
      </w:r>
      <w:r w:rsidR="000D1630" w:rsidRPr="000A2EB9">
        <w:rPr>
          <w:bCs/>
          <w:lang w:val="es-ES"/>
        </w:rPr>
        <w:t xml:space="preserve">señaló que, </w:t>
      </w:r>
      <w:r w:rsidRPr="000A2EB9">
        <w:rPr>
          <w:bCs/>
          <w:lang w:val="es-ES"/>
        </w:rPr>
        <w:t>si bien no tiene el propósito de elaborar un 'modelo</w:t>
      </w:r>
      <w:r w:rsidR="000D1630" w:rsidRPr="000A2EB9">
        <w:rPr>
          <w:bCs/>
          <w:lang w:val="es-ES"/>
        </w:rPr>
        <w:t xml:space="preserve"> </w:t>
      </w:r>
      <w:r w:rsidRPr="000A2EB9">
        <w:rPr>
          <w:bCs/>
          <w:lang w:val="es-ES"/>
        </w:rPr>
        <w:t>vinculante' de definición del término 'salario', sí tiene</w:t>
      </w:r>
      <w:r w:rsidR="000D1630" w:rsidRPr="000A2EB9">
        <w:rPr>
          <w:bCs/>
          <w:lang w:val="es-ES"/>
        </w:rPr>
        <w:t xml:space="preserve"> </w:t>
      </w:r>
      <w:r w:rsidRPr="000A2EB9">
        <w:rPr>
          <w:bCs/>
          <w:lang w:val="es-ES"/>
        </w:rPr>
        <w:t>como objeto garantizar que las remuneraciones reales de los</w:t>
      </w:r>
      <w:r w:rsidR="000D1630" w:rsidRPr="000A2EB9">
        <w:rPr>
          <w:bCs/>
          <w:lang w:val="es-ES"/>
        </w:rPr>
        <w:t xml:space="preserve"> </w:t>
      </w:r>
      <w:r w:rsidRPr="000A2EB9">
        <w:rPr>
          <w:bCs/>
          <w:lang w:val="es-ES"/>
        </w:rPr>
        <w:t>trabajadores, independientemente de su denominación o cálculo,</w:t>
      </w:r>
      <w:r w:rsidR="000D1630" w:rsidRPr="000A2EB9">
        <w:rPr>
          <w:bCs/>
          <w:lang w:val="es-ES"/>
        </w:rPr>
        <w:t xml:space="preserve"> </w:t>
      </w:r>
      <w:r w:rsidRPr="000A2EB9">
        <w:rPr>
          <w:bCs/>
          <w:lang w:val="es-ES"/>
        </w:rPr>
        <w:t>serán protegidas íntegramente en virtud de la legislación</w:t>
      </w:r>
      <w:r w:rsidR="000D1630" w:rsidRPr="000A2EB9">
        <w:rPr>
          <w:bCs/>
          <w:lang w:val="es-ES"/>
        </w:rPr>
        <w:t xml:space="preserve"> </w:t>
      </w:r>
      <w:r w:rsidRPr="000A2EB9">
        <w:rPr>
          <w:bCs/>
          <w:lang w:val="es-ES"/>
        </w:rPr>
        <w:t xml:space="preserve">nacional, </w:t>
      </w:r>
      <w:r w:rsidR="000D1630" w:rsidRPr="000A2EB9">
        <w:rPr>
          <w:bCs/>
          <w:lang w:val="es-ES"/>
        </w:rPr>
        <w:t>a</w:t>
      </w:r>
      <w:r w:rsidRPr="000A2EB9">
        <w:rPr>
          <w:bCs/>
          <w:lang w:val="es-ES"/>
        </w:rPr>
        <w:t xml:space="preserve">cotando que, </w:t>
      </w:r>
      <w:r w:rsidR="000D1630" w:rsidRPr="000A2EB9">
        <w:rPr>
          <w:bCs/>
          <w:lang w:val="es-ES"/>
        </w:rPr>
        <w:t>c</w:t>
      </w:r>
      <w:r w:rsidRPr="000A2EB9">
        <w:rPr>
          <w:bCs/>
          <w:lang w:val="es-ES"/>
        </w:rPr>
        <w:t>omo lo demuestra la</w:t>
      </w:r>
      <w:r w:rsidR="000D1630" w:rsidRPr="000A2EB9">
        <w:rPr>
          <w:bCs/>
          <w:lang w:val="es-ES"/>
        </w:rPr>
        <w:t xml:space="preserve"> </w:t>
      </w:r>
      <w:r w:rsidRPr="000A2EB9">
        <w:rPr>
          <w:bCs/>
          <w:lang w:val="es-ES"/>
        </w:rPr>
        <w:t>experiencia reciente, en particular con respecto a las políticas de</w:t>
      </w:r>
      <w:r w:rsidR="00D91591" w:rsidRPr="000A2EB9">
        <w:rPr>
          <w:bCs/>
          <w:lang w:val="es-ES"/>
        </w:rPr>
        <w:t xml:space="preserve"> “</w:t>
      </w:r>
      <w:r w:rsidRPr="000A2EB9">
        <w:rPr>
          <w:bCs/>
          <w:lang w:val="es-ES"/>
        </w:rPr>
        <w:t>desalarización</w:t>
      </w:r>
      <w:r w:rsidR="00D91591" w:rsidRPr="000A2EB9">
        <w:rPr>
          <w:bCs/>
          <w:lang w:val="es-ES"/>
        </w:rPr>
        <w:t>”</w:t>
      </w:r>
      <w:r w:rsidRPr="000A2EB9">
        <w:rPr>
          <w:bCs/>
          <w:lang w:val="es-ES"/>
        </w:rPr>
        <w:t>, practicadas en algunos países, las</w:t>
      </w:r>
      <w:r w:rsidR="000D1630" w:rsidRPr="000A2EB9">
        <w:rPr>
          <w:bCs/>
          <w:lang w:val="es-ES"/>
        </w:rPr>
        <w:t xml:space="preserve"> </w:t>
      </w:r>
      <w:r w:rsidRPr="000A2EB9">
        <w:rPr>
          <w:bCs/>
          <w:lang w:val="es-ES"/>
        </w:rPr>
        <w:t>obligaciones derivadas del Convenio en materia de protección</w:t>
      </w:r>
      <w:r w:rsidR="000D1630" w:rsidRPr="000A2EB9">
        <w:rPr>
          <w:bCs/>
          <w:lang w:val="es-ES"/>
        </w:rPr>
        <w:t xml:space="preserve"> </w:t>
      </w:r>
      <w:r w:rsidRPr="000A2EB9">
        <w:rPr>
          <w:bCs/>
          <w:lang w:val="es-ES"/>
        </w:rPr>
        <w:t>de los salarios de los trabajadores, no pueden eludirse mediante la utilización de subterfugios terminológicos</w:t>
      </w:r>
      <w:r w:rsidR="000D1630" w:rsidRPr="000A2EB9">
        <w:rPr>
          <w:bCs/>
          <w:lang w:val="es-ES"/>
        </w:rPr>
        <w:t>; así como que, p</w:t>
      </w:r>
      <w:r w:rsidRPr="000A2EB9">
        <w:rPr>
          <w:bCs/>
          <w:lang w:val="es-ES"/>
        </w:rPr>
        <w:t>or el</w:t>
      </w:r>
      <w:r w:rsidR="000D1630" w:rsidRPr="000A2EB9">
        <w:rPr>
          <w:bCs/>
          <w:lang w:val="es-ES"/>
        </w:rPr>
        <w:t xml:space="preserve"> </w:t>
      </w:r>
      <w:r w:rsidRPr="000A2EB9">
        <w:rPr>
          <w:bCs/>
          <w:lang w:val="es-ES"/>
        </w:rPr>
        <w:t>contrario</w:t>
      </w:r>
      <w:r w:rsidR="00D91591" w:rsidRPr="000A2EB9">
        <w:rPr>
          <w:bCs/>
          <w:lang w:val="es-ES"/>
        </w:rPr>
        <w:t>,</w:t>
      </w:r>
      <w:r w:rsidRPr="000A2EB9">
        <w:rPr>
          <w:bCs/>
          <w:lang w:val="es-ES"/>
        </w:rPr>
        <w:t xml:space="preserve"> es necesario que la legislación nacional proteja la</w:t>
      </w:r>
      <w:r w:rsidR="000D1630" w:rsidRPr="000A2EB9">
        <w:rPr>
          <w:bCs/>
          <w:lang w:val="es-ES"/>
        </w:rPr>
        <w:t xml:space="preserve"> </w:t>
      </w:r>
      <w:r w:rsidRPr="000A2EB9">
        <w:rPr>
          <w:bCs/>
          <w:lang w:val="es-ES"/>
        </w:rPr>
        <w:t>remuneración del trabajo, cualquiera sea la forma que adopte</w:t>
      </w:r>
      <w:r w:rsidR="00D91591" w:rsidRPr="000A2EB9">
        <w:rPr>
          <w:bCs/>
          <w:lang w:val="es-ES"/>
        </w:rPr>
        <w:t xml:space="preserve"> </w:t>
      </w:r>
      <w:r w:rsidR="000D1630" w:rsidRPr="000A2EB9">
        <w:rPr>
          <w:bCs/>
          <w:lang w:val="es-ES"/>
        </w:rPr>
        <w:t>de manera amplia y de buena fe; recordando la censura que dicho órgano planteó en la década de los años 90 en relación  a los beneficios no remuneratorios de los decretos 1.477 y 1.478 de 1989, y 333 de 1993, nominalmente destinados a mejorar la alimentación del trabajador y de su familia</w:t>
      </w:r>
      <w:r w:rsidR="00D91591" w:rsidRPr="000A2EB9">
        <w:rPr>
          <w:bCs/>
          <w:lang w:val="es-ES"/>
        </w:rPr>
        <w:t>,</w:t>
      </w:r>
      <w:r w:rsidR="000D1630" w:rsidRPr="000A2EB9">
        <w:rPr>
          <w:bCs/>
          <w:lang w:val="es-ES"/>
        </w:rPr>
        <w:t xml:space="preserve"> ya que estos “beneficios”, cualquiera sea el nombre que se le pueda dar (primas, prestaciones complementarias, etc.), son elementos de la remuneración en el sentido del artículo 1 del Convenio.</w:t>
      </w:r>
    </w:p>
    <w:p w14:paraId="6DF31A07" w14:textId="0C4C6E73" w:rsidR="000D1630" w:rsidRPr="000A2EB9" w:rsidRDefault="00397ED0" w:rsidP="00397ED0">
      <w:pPr>
        <w:spacing w:line="360" w:lineRule="auto"/>
        <w:ind w:firstLine="720"/>
        <w:jc w:val="both"/>
        <w:rPr>
          <w:bCs/>
          <w:lang w:val="es-ES"/>
        </w:rPr>
      </w:pPr>
      <w:r w:rsidRPr="000A2EB9">
        <w:rPr>
          <w:bCs/>
          <w:lang w:val="es-ES"/>
        </w:rPr>
        <w:lastRenderedPageBreak/>
        <w:t>Por último, memoraron también que esa Comisión expresó al gobierno argentino que lamentaba observar que la nueva legislación, es decir el art. 103 bis de la LCT, según el texto que le diera la ley 24.700, retrotra</w:t>
      </w:r>
      <w:r w:rsidR="00D91591" w:rsidRPr="000A2EB9">
        <w:rPr>
          <w:bCs/>
          <w:lang w:val="es-ES"/>
        </w:rPr>
        <w:t>ía</w:t>
      </w:r>
      <w:r w:rsidRPr="000A2EB9">
        <w:rPr>
          <w:bCs/>
          <w:lang w:val="es-ES"/>
        </w:rPr>
        <w:t xml:space="preserve"> a la situación de discrepancia con las disposiciones del Convenio, que ya había puntualizado, repetidamente, en punto a los decretos 1.477 y 1.478 de 1989, y 333 de 1993.</w:t>
      </w:r>
    </w:p>
    <w:p w14:paraId="164E1D91" w14:textId="6B35F37D" w:rsidR="000D1630" w:rsidRPr="000A2EB9" w:rsidRDefault="00397ED0" w:rsidP="00397ED0">
      <w:pPr>
        <w:spacing w:line="360" w:lineRule="auto"/>
        <w:jc w:val="both"/>
        <w:rPr>
          <w:bCs/>
          <w:lang w:val="es-ES"/>
        </w:rPr>
      </w:pPr>
      <w:r w:rsidRPr="000A2EB9">
        <w:rPr>
          <w:bCs/>
          <w:lang w:val="es-ES"/>
        </w:rPr>
        <w:tab/>
        <w:t>Sobre esa base, los jueces Lorenzetti, Petracchi, Maqueda y Zaffaroni votaron por declarar la inconstitucionalidad del art. 103 bis inc. c</w:t>
      </w:r>
      <w:r w:rsidR="00D91591" w:rsidRPr="000A2EB9">
        <w:rPr>
          <w:bCs/>
          <w:lang w:val="es-ES"/>
        </w:rPr>
        <w:t>)</w:t>
      </w:r>
      <w:r w:rsidRPr="000A2EB9">
        <w:rPr>
          <w:bCs/>
          <w:lang w:val="es-ES"/>
        </w:rPr>
        <w:t xml:space="preserve"> de la Ley de Contrato de Trabajo (texto según ley 24.700), relativo a los vales alimentarios, en cuanto niega a éstos naturaleza salarial.</w:t>
      </w:r>
    </w:p>
    <w:p w14:paraId="377046E7" w14:textId="1DBAD96A" w:rsidR="00397ED0" w:rsidRPr="000A2EB9" w:rsidRDefault="00397ED0" w:rsidP="00397ED0">
      <w:pPr>
        <w:spacing w:line="360" w:lineRule="auto"/>
        <w:jc w:val="both"/>
        <w:rPr>
          <w:bCs/>
          <w:lang w:val="es-ES"/>
        </w:rPr>
      </w:pPr>
      <w:r w:rsidRPr="000A2EB9">
        <w:rPr>
          <w:bCs/>
          <w:lang w:val="es-ES"/>
        </w:rPr>
        <w:tab/>
        <w:t xml:space="preserve">El voto concurrente de la minoría, por su lado, </w:t>
      </w:r>
      <w:r w:rsidR="00CC31A2" w:rsidRPr="000A2EB9">
        <w:rPr>
          <w:bCs/>
          <w:lang w:val="es-ES"/>
        </w:rPr>
        <w:t>concordó con esa postura aun cuando aportara algunos elementos de juicio complementarios.</w:t>
      </w:r>
    </w:p>
    <w:p w14:paraId="730B0287" w14:textId="0B168C98" w:rsidR="00CC31A2" w:rsidRPr="000A2EB9" w:rsidRDefault="00CC31A2" w:rsidP="00CC31A2">
      <w:pPr>
        <w:spacing w:line="360" w:lineRule="auto"/>
        <w:jc w:val="both"/>
        <w:rPr>
          <w:bCs/>
          <w:lang w:val="es-ES"/>
        </w:rPr>
      </w:pPr>
      <w:r w:rsidRPr="000A2EB9">
        <w:rPr>
          <w:bCs/>
          <w:lang w:val="es-ES"/>
        </w:rPr>
        <w:tab/>
        <w:t>Así, dijeron que el mejoramiento de la calidad de vida del trabajador y de su familia, finalidad que decía perseguir la norma impugnada, no constituye fundamento válido para modificar el título con el cual se corresponde una prestación a la luz</w:t>
      </w:r>
      <w:r w:rsidR="00D91591" w:rsidRPr="000A2EB9">
        <w:rPr>
          <w:bCs/>
          <w:lang w:val="es-ES"/>
        </w:rPr>
        <w:t xml:space="preserve"> c</w:t>
      </w:r>
      <w:r w:rsidRPr="000A2EB9">
        <w:rPr>
          <w:bCs/>
          <w:lang w:val="es-ES"/>
        </w:rPr>
        <w:t>onstitucional puesto que la noción de remuneración es definida en el art. 1 del Convenio 95 de la OIT, al especificar que "</w:t>
      </w:r>
      <w:r w:rsidRPr="000A2EB9">
        <w:rPr>
          <w:bCs/>
          <w:i/>
          <w:iCs/>
          <w:lang w:val="es-ES"/>
        </w:rPr>
        <w:t>el término salario significa la remuneración o ganancia, sea cual fuere su denominación o método de cálculo, siempre que pueda evaluarse en efectivo, fijada por acuerdo o por la legislación nacional, y debida por un empleador a un trabajador en virtud de un contrato de trabajo, escrito o verbal, por el trabajo que este último haya efectuado o deba efectuar o por servicios</w:t>
      </w:r>
      <w:r w:rsidR="00D91591" w:rsidRPr="000A2EB9">
        <w:rPr>
          <w:bCs/>
          <w:i/>
          <w:iCs/>
          <w:lang w:val="es-ES"/>
        </w:rPr>
        <w:t xml:space="preserve"> </w:t>
      </w:r>
      <w:r w:rsidRPr="000A2EB9">
        <w:rPr>
          <w:bCs/>
          <w:i/>
          <w:iCs/>
          <w:lang w:val="es-ES"/>
        </w:rPr>
        <w:t>que haya prestado o deba prestar</w:t>
      </w:r>
      <w:r w:rsidRPr="000A2EB9">
        <w:rPr>
          <w:bCs/>
          <w:lang w:val="es-ES"/>
        </w:rPr>
        <w:t>".</w:t>
      </w:r>
    </w:p>
    <w:p w14:paraId="1862B34E" w14:textId="6A9ED7E0" w:rsidR="00397ED0" w:rsidRPr="000A2EB9" w:rsidRDefault="00CC31A2" w:rsidP="00CC31A2">
      <w:pPr>
        <w:spacing w:line="360" w:lineRule="auto"/>
        <w:ind w:firstLine="720"/>
        <w:jc w:val="both"/>
        <w:rPr>
          <w:bCs/>
          <w:lang w:val="es-ES"/>
        </w:rPr>
      </w:pPr>
      <w:r w:rsidRPr="000A2EB9">
        <w:rPr>
          <w:bCs/>
          <w:lang w:val="es-ES"/>
        </w:rPr>
        <w:t>Señalaron que esa definición convencional está en sintonía con la establecida en el art. 103 de la ley 20.744</w:t>
      </w:r>
      <w:r w:rsidR="00D91591" w:rsidRPr="000A2EB9">
        <w:rPr>
          <w:bCs/>
          <w:lang w:val="es-ES"/>
        </w:rPr>
        <w:t xml:space="preserve"> </w:t>
      </w:r>
      <w:r w:rsidRPr="000A2EB9">
        <w:rPr>
          <w:bCs/>
          <w:lang w:val="es-ES"/>
        </w:rPr>
        <w:t xml:space="preserve">pero, en cambio, la norma impugnada, el art. 103 bis inciso c) de la LCT, redacción de la ley 24.700, </w:t>
      </w:r>
      <w:r w:rsidR="009B576C" w:rsidRPr="000A2EB9">
        <w:rPr>
          <w:bCs/>
          <w:lang w:val="es-ES"/>
        </w:rPr>
        <w:t>no es compatible con esas definiciones.</w:t>
      </w:r>
    </w:p>
    <w:p w14:paraId="725EE5CE" w14:textId="6ACCAD2D" w:rsidR="009B576C" w:rsidRPr="000A2EB9" w:rsidRDefault="002E0E28" w:rsidP="002E0E28">
      <w:pPr>
        <w:spacing w:line="360" w:lineRule="auto"/>
        <w:jc w:val="both"/>
        <w:rPr>
          <w:bCs/>
          <w:lang w:val="es-ES"/>
        </w:rPr>
      </w:pPr>
      <w:r w:rsidRPr="000A2EB9">
        <w:rPr>
          <w:bCs/>
          <w:lang w:val="es-ES"/>
        </w:rPr>
        <w:tab/>
        <w:t>También este bloque de ministros memoró los señalamientos que, en múltiples ocasiones, le efectuó la OIT al Estado Argentino, añadiendo las consideraciones efectuadas por la Comisión de la Cámara de Diputados del Congreso Nacional cuando se discutió el texto de la que sería la ley 26.341, que derogara los incisos b) y c) del art. 103bis</w:t>
      </w:r>
      <w:r w:rsidR="00D91591" w:rsidRPr="000A2EB9">
        <w:rPr>
          <w:bCs/>
          <w:lang w:val="es-ES"/>
        </w:rPr>
        <w:t xml:space="preserve"> </w:t>
      </w:r>
      <w:r w:rsidRPr="000A2EB9">
        <w:rPr>
          <w:bCs/>
          <w:lang w:val="es-ES"/>
        </w:rPr>
        <w:t>de la ley 20.744.</w:t>
      </w:r>
    </w:p>
    <w:p w14:paraId="2FCF5CA7" w14:textId="2D45EEBF" w:rsidR="00CC31A2" w:rsidRPr="000A2EB9" w:rsidRDefault="002E0E28" w:rsidP="002E0E28">
      <w:pPr>
        <w:spacing w:line="360" w:lineRule="auto"/>
        <w:jc w:val="both"/>
        <w:rPr>
          <w:bCs/>
          <w:lang w:val="es-ES"/>
        </w:rPr>
      </w:pPr>
      <w:r w:rsidRPr="000A2EB9">
        <w:rPr>
          <w:bCs/>
          <w:lang w:val="es-ES"/>
        </w:rPr>
        <w:tab/>
        <w:t>Rescataron, en ese sentido, que el diputado Martínez, en los Fundamentos con que acompañó el proyecto de ley que se sancionaría bajo el número 26.341, señaló que "</w:t>
      </w:r>
      <w:r w:rsidRPr="000A2EB9">
        <w:rPr>
          <w:bCs/>
          <w:i/>
          <w:iCs/>
          <w:lang w:val="es-ES"/>
        </w:rPr>
        <w:t>los beneficios alimentarios constituyen verdaderos salarios en los términos del Convenio 95, ratificado por la Argentina</w:t>
      </w:r>
      <w:r w:rsidRPr="000A2EB9">
        <w:rPr>
          <w:bCs/>
          <w:lang w:val="es-ES"/>
        </w:rPr>
        <w:t xml:space="preserve">”; que existe un vínculo entre las prestaciones destinadas a mejorar la alimentación de los trabajadores y sus familias y el trabajo realizado o los servicios prestados de conformidad con la definición de vales alimenticios y canasta de alimentos como beneficios sociales perjudica en forma directa la remuneración del trabajador y altera el concepto de salario establecido en el recordado art. 1 del Convenio 95 de la OIT, situación que calificó como "de injusticia social" que debía ser remediada haciendo que el trabajador perciba la totalidad de su salario, </w:t>
      </w:r>
      <w:r w:rsidRPr="000A2EB9">
        <w:rPr>
          <w:bCs/>
          <w:lang w:val="es-ES"/>
        </w:rPr>
        <w:lastRenderedPageBreak/>
        <w:t>reflexiones que se vieron reflejadas y repetidas en el debate parlamentario que concluyó en la sanción de la ley que dejó sin efecto la norma cuya constitucionalidad se discutía en el caso “Pérez”.</w:t>
      </w:r>
    </w:p>
    <w:p w14:paraId="08087FCE" w14:textId="6EE4DC31" w:rsidR="00E5542C" w:rsidRPr="000A2EB9" w:rsidRDefault="00E5542C" w:rsidP="00E5542C">
      <w:pPr>
        <w:spacing w:line="360" w:lineRule="auto"/>
        <w:ind w:firstLine="720"/>
        <w:jc w:val="both"/>
        <w:rPr>
          <w:bCs/>
          <w:lang w:val="es-ES"/>
        </w:rPr>
      </w:pPr>
      <w:r w:rsidRPr="000A2EB9">
        <w:rPr>
          <w:bCs/>
          <w:lang w:val="es-ES"/>
        </w:rPr>
        <w:t xml:space="preserve">Añadieron estos integrantes de la Corte Suprema </w:t>
      </w:r>
      <w:r w:rsidR="002E0E28" w:rsidRPr="000A2EB9">
        <w:rPr>
          <w:bCs/>
          <w:lang w:val="es-ES"/>
        </w:rPr>
        <w:t>que la calificación establecida por el inciso c) del art. 103</w:t>
      </w:r>
      <w:r w:rsidR="00D91591" w:rsidRPr="000A2EB9">
        <w:rPr>
          <w:bCs/>
          <w:lang w:val="es-ES"/>
        </w:rPr>
        <w:t xml:space="preserve"> </w:t>
      </w:r>
      <w:r w:rsidR="002E0E28" w:rsidRPr="000A2EB9">
        <w:rPr>
          <w:bCs/>
          <w:lang w:val="es-ES"/>
        </w:rPr>
        <w:t>bis de la ley 20.744 no solamente se encuentra en pugna con las normas de rango superior antes mencionadas, sino que viola los principios constitucionales protectorios del salario, porque la base de cálculo de la indemnización</w:t>
      </w:r>
      <w:r w:rsidRPr="000A2EB9">
        <w:rPr>
          <w:bCs/>
          <w:lang w:val="es-ES"/>
        </w:rPr>
        <w:t xml:space="preserve"> </w:t>
      </w:r>
      <w:r w:rsidR="002E0E28" w:rsidRPr="000A2EB9">
        <w:rPr>
          <w:bCs/>
          <w:lang w:val="es-ES"/>
        </w:rPr>
        <w:t>salarial debe guardar razonable proporción con los elementos</w:t>
      </w:r>
      <w:r w:rsidRPr="000A2EB9">
        <w:rPr>
          <w:bCs/>
          <w:lang w:val="es-ES"/>
        </w:rPr>
        <w:t xml:space="preserve"> </w:t>
      </w:r>
      <w:r w:rsidR="002E0E28" w:rsidRPr="000A2EB9">
        <w:rPr>
          <w:bCs/>
          <w:lang w:val="es-ES"/>
        </w:rPr>
        <w:t>que componen la remuneración, es decir con la contraprestación</w:t>
      </w:r>
      <w:r w:rsidRPr="000A2EB9">
        <w:rPr>
          <w:bCs/>
          <w:lang w:val="es-ES"/>
        </w:rPr>
        <w:t xml:space="preserve"> </w:t>
      </w:r>
      <w:r w:rsidR="002E0E28" w:rsidRPr="000A2EB9">
        <w:rPr>
          <w:bCs/>
          <w:lang w:val="es-ES"/>
        </w:rPr>
        <w:t>que el trabajador percibe como consecuencia del contrato de</w:t>
      </w:r>
      <w:r w:rsidRPr="000A2EB9">
        <w:rPr>
          <w:bCs/>
          <w:lang w:val="es-ES"/>
        </w:rPr>
        <w:t xml:space="preserve"> </w:t>
      </w:r>
      <w:r w:rsidR="002E0E28" w:rsidRPr="000A2EB9">
        <w:rPr>
          <w:bCs/>
          <w:lang w:val="es-ES"/>
        </w:rPr>
        <w:t>trabajo</w:t>
      </w:r>
      <w:r w:rsidRPr="000A2EB9">
        <w:rPr>
          <w:bCs/>
          <w:lang w:val="es-ES"/>
        </w:rPr>
        <w:t xml:space="preserve"> y la </w:t>
      </w:r>
      <w:r w:rsidR="002E0E28" w:rsidRPr="000A2EB9">
        <w:rPr>
          <w:bCs/>
          <w:lang w:val="es-ES"/>
        </w:rPr>
        <w:t xml:space="preserve">indebida exclusión de conceptos que, como </w:t>
      </w:r>
      <w:r w:rsidRPr="000A2EB9">
        <w:rPr>
          <w:bCs/>
          <w:lang w:val="es-ES"/>
        </w:rPr>
        <w:t xml:space="preserve">en </w:t>
      </w:r>
      <w:r w:rsidR="002E0E28" w:rsidRPr="000A2EB9">
        <w:rPr>
          <w:bCs/>
          <w:lang w:val="es-ES"/>
        </w:rPr>
        <w:t xml:space="preserve">el </w:t>
      </w:r>
      <w:r w:rsidRPr="000A2EB9">
        <w:rPr>
          <w:bCs/>
          <w:lang w:val="es-ES"/>
        </w:rPr>
        <w:t>caso, se</w:t>
      </w:r>
      <w:r w:rsidR="002E0E28" w:rsidRPr="000A2EB9">
        <w:rPr>
          <w:bCs/>
          <w:lang w:val="es-ES"/>
        </w:rPr>
        <w:t xml:space="preserve"> encuentran comprendidos dentro de la noción de</w:t>
      </w:r>
      <w:r w:rsidRPr="000A2EB9">
        <w:rPr>
          <w:bCs/>
          <w:lang w:val="es-ES"/>
        </w:rPr>
        <w:t xml:space="preserve"> </w:t>
      </w:r>
      <w:r w:rsidR="002E0E28" w:rsidRPr="000A2EB9">
        <w:rPr>
          <w:bCs/>
          <w:lang w:val="es-ES"/>
        </w:rPr>
        <w:t>salario que brindan tanto las normas internacionales ratificadas por la República Argentina, como la propia legislación</w:t>
      </w:r>
      <w:r w:rsidRPr="000A2EB9">
        <w:rPr>
          <w:bCs/>
          <w:lang w:val="es-ES"/>
        </w:rPr>
        <w:t xml:space="preserve"> </w:t>
      </w:r>
      <w:r w:rsidR="002E0E28" w:rsidRPr="000A2EB9">
        <w:rPr>
          <w:bCs/>
          <w:lang w:val="es-ES"/>
        </w:rPr>
        <w:t>nacional, afecta el principio constitucional de</w:t>
      </w:r>
      <w:r w:rsidRPr="000A2EB9">
        <w:rPr>
          <w:bCs/>
          <w:lang w:val="es-ES"/>
        </w:rPr>
        <w:t xml:space="preserve"> retribución justa, </w:t>
      </w:r>
      <w:r w:rsidR="002E0E28" w:rsidRPr="000A2EB9">
        <w:rPr>
          <w:bCs/>
          <w:lang w:val="es-ES"/>
        </w:rPr>
        <w:t>que se encuentra en correlación con la base remuneratoria que compone el derecho, también constitucional, a la</w:t>
      </w:r>
      <w:r w:rsidRPr="000A2EB9">
        <w:rPr>
          <w:bCs/>
          <w:lang w:val="es-ES"/>
        </w:rPr>
        <w:t xml:space="preserve"> protección contra el despido arbitrario.</w:t>
      </w:r>
    </w:p>
    <w:p w14:paraId="2E48D8B1" w14:textId="77777777" w:rsidR="005A3B72" w:rsidRPr="000A2EB9" w:rsidRDefault="00E5542C" w:rsidP="00E5542C">
      <w:pPr>
        <w:spacing w:line="360" w:lineRule="auto"/>
        <w:ind w:firstLine="720"/>
        <w:jc w:val="both"/>
        <w:rPr>
          <w:bCs/>
          <w:lang w:val="es-ES"/>
        </w:rPr>
      </w:pPr>
      <w:r w:rsidRPr="000A2EB9">
        <w:rPr>
          <w:bCs/>
          <w:lang w:val="es-ES"/>
        </w:rPr>
        <w:t xml:space="preserve">Podría sintetizarse la doctrina sentada por los 7 magistrados </w:t>
      </w:r>
      <w:r w:rsidR="00C624C4" w:rsidRPr="000A2EB9">
        <w:rPr>
          <w:bCs/>
          <w:lang w:val="es-ES"/>
        </w:rPr>
        <w:t>diciendo que no cabe descartar que los empleadores se interesen por el mejoramiento de la situación social de sus dependientes pero que no es dable suponer que todo valor que se le entregue a éstos tengan ese objetivo, lo que, por lo excepcional, deber</w:t>
      </w:r>
      <w:r w:rsidR="005A3B72" w:rsidRPr="000A2EB9">
        <w:rPr>
          <w:bCs/>
          <w:lang w:val="es-ES"/>
        </w:rPr>
        <w:t>ía ser claramente explicado y</w:t>
      </w:r>
      <w:r w:rsidR="00C624C4" w:rsidRPr="000A2EB9">
        <w:rPr>
          <w:bCs/>
          <w:lang w:val="es-ES"/>
        </w:rPr>
        <w:t xml:space="preserve"> demostrado </w:t>
      </w:r>
      <w:r w:rsidR="00E37E85" w:rsidRPr="000A2EB9">
        <w:rPr>
          <w:bCs/>
          <w:lang w:val="es-ES"/>
        </w:rPr>
        <w:t>ya que, en virtud de la amplia conceptualización de la remuneración emanada del Convenio OIT 95 y del art. 103 LCT</w:t>
      </w:r>
      <w:r w:rsidR="005A3B72" w:rsidRPr="000A2EB9">
        <w:rPr>
          <w:bCs/>
          <w:lang w:val="es-ES"/>
        </w:rPr>
        <w:t>,</w:t>
      </w:r>
      <w:r w:rsidR="00E37E85" w:rsidRPr="000A2EB9">
        <w:rPr>
          <w:bCs/>
          <w:lang w:val="es-ES"/>
        </w:rPr>
        <w:t xml:space="preserve"> cabe presumir como regla que todo cuanto el empleador le paga u otorga al dependiente tiene su causa en la contraprestación laboral.</w:t>
      </w:r>
      <w:r w:rsidR="009C7035" w:rsidRPr="000A2EB9">
        <w:rPr>
          <w:bCs/>
          <w:lang w:val="es-ES"/>
        </w:rPr>
        <w:t xml:space="preserve"> </w:t>
      </w:r>
    </w:p>
    <w:p w14:paraId="2BD2A954" w14:textId="1423DF6F" w:rsidR="009C7035" w:rsidRPr="000A2EB9" w:rsidRDefault="009C7035" w:rsidP="00D20641">
      <w:pPr>
        <w:spacing w:line="360" w:lineRule="auto"/>
        <w:jc w:val="both"/>
        <w:rPr>
          <w:bCs/>
          <w:lang w:val="es-ES"/>
        </w:rPr>
      </w:pPr>
      <w:r w:rsidRPr="000A2EB9">
        <w:rPr>
          <w:bCs/>
          <w:lang w:val="es-ES"/>
        </w:rPr>
        <w:tab/>
        <w:t xml:space="preserve">Poco después, el Máximo Tribunal argentino volvió a tratar la temática del concepto real de salario en la causa </w:t>
      </w:r>
      <w:r w:rsidRPr="000A2EB9">
        <w:rPr>
          <w:b/>
          <w:lang w:val="es-ES"/>
        </w:rPr>
        <w:t>“</w:t>
      </w:r>
      <w:r w:rsidR="00D20641" w:rsidRPr="000A2EB9">
        <w:rPr>
          <w:b/>
          <w:lang w:val="es-ES"/>
        </w:rPr>
        <w:t>González, Martín Nicolás c/</w:t>
      </w:r>
      <w:r w:rsidR="0022241D" w:rsidRPr="000A2EB9">
        <w:rPr>
          <w:b/>
          <w:lang w:val="es-ES"/>
        </w:rPr>
        <w:t xml:space="preserve"> </w:t>
      </w:r>
      <w:r w:rsidR="00D20641" w:rsidRPr="000A2EB9">
        <w:rPr>
          <w:b/>
          <w:lang w:val="es-ES"/>
        </w:rPr>
        <w:t>Polimat SA y otro</w:t>
      </w:r>
      <w:r w:rsidRPr="000A2EB9">
        <w:rPr>
          <w:b/>
          <w:lang w:val="es-ES"/>
        </w:rPr>
        <w:t>”</w:t>
      </w:r>
      <w:r w:rsidRPr="000A2EB9">
        <w:rPr>
          <w:bCs/>
          <w:lang w:val="es-ES"/>
        </w:rPr>
        <w:t>, decisión fechada el</w:t>
      </w:r>
      <w:r w:rsidR="00D20641" w:rsidRPr="000A2EB9">
        <w:rPr>
          <w:bCs/>
          <w:lang w:val="es-ES"/>
        </w:rPr>
        <w:t xml:space="preserve"> 19/05/10</w:t>
      </w:r>
      <w:r w:rsidRPr="000A2EB9">
        <w:rPr>
          <w:bCs/>
          <w:lang w:val="es-ES"/>
        </w:rPr>
        <w:t>, esta vez en relación a decretos del Poder Ejecutivo Nacional que concedieron aumentos generalizados calificando de “no salariales” a las sumas respectivas</w:t>
      </w:r>
      <w:r w:rsidR="005A3B72" w:rsidRPr="000A2EB9">
        <w:rPr>
          <w:bCs/>
          <w:lang w:val="es-ES"/>
        </w:rPr>
        <w:t>, tal como anticipé en la introducción a este bloque.</w:t>
      </w:r>
    </w:p>
    <w:p w14:paraId="187B1350" w14:textId="4889209B" w:rsidR="0022241D" w:rsidRPr="000A2EB9" w:rsidRDefault="0022241D" w:rsidP="0022241D">
      <w:pPr>
        <w:spacing w:line="360" w:lineRule="auto"/>
        <w:jc w:val="both"/>
        <w:rPr>
          <w:bCs/>
          <w:lang w:val="es-ES"/>
        </w:rPr>
      </w:pPr>
      <w:r w:rsidRPr="000A2EB9">
        <w:rPr>
          <w:bCs/>
          <w:lang w:val="es-ES"/>
        </w:rPr>
        <w:tab/>
        <w:t xml:space="preserve">La Sala VIII de la CNAT había revocado parcialmente la sentencia de grado y desestimado el planteo de inconstitucionalidad </w:t>
      </w:r>
      <w:r w:rsidR="008D2F00" w:rsidRPr="000A2EB9">
        <w:rPr>
          <w:bCs/>
          <w:lang w:val="es-ES"/>
        </w:rPr>
        <w:t>deduci</w:t>
      </w:r>
      <w:r w:rsidRPr="000A2EB9">
        <w:rPr>
          <w:bCs/>
          <w:lang w:val="es-ES"/>
        </w:rPr>
        <w:t>do contra los decretos 1.273/2002, 2.641/2002 y 905/2003, en cuanto calificaron como “</w:t>
      </w:r>
      <w:r w:rsidRPr="000A2EB9">
        <w:rPr>
          <w:bCs/>
          <w:i/>
          <w:iCs/>
          <w:lang w:val="es-ES"/>
        </w:rPr>
        <w:t>asignaciones no remunerativas de carácter alimentario</w:t>
      </w:r>
      <w:r w:rsidRPr="000A2EB9">
        <w:rPr>
          <w:bCs/>
          <w:lang w:val="es-ES"/>
        </w:rPr>
        <w:t>” a las prestaciones dinerarias que establecían en favor de los trabajadores dependientes (</w:t>
      </w:r>
      <w:r w:rsidRPr="000A2EB9">
        <w:rPr>
          <w:rStyle w:val="Refdenotaalpie"/>
          <w:bCs/>
          <w:lang w:val="es-ES"/>
        </w:rPr>
        <w:footnoteReference w:id="62"/>
      </w:r>
      <w:r w:rsidRPr="000A2EB9">
        <w:rPr>
          <w:bCs/>
          <w:lang w:val="es-ES"/>
        </w:rPr>
        <w:t>).</w:t>
      </w:r>
    </w:p>
    <w:p w14:paraId="0F81097C" w14:textId="28D04E26" w:rsidR="00931694" w:rsidRPr="000A2EB9" w:rsidRDefault="0022241D" w:rsidP="00931694">
      <w:pPr>
        <w:spacing w:line="360" w:lineRule="auto"/>
        <w:jc w:val="both"/>
        <w:rPr>
          <w:bCs/>
          <w:lang w:val="es-ES"/>
        </w:rPr>
      </w:pPr>
      <w:r w:rsidRPr="000A2EB9">
        <w:rPr>
          <w:bCs/>
          <w:lang w:val="es-ES"/>
        </w:rPr>
        <w:tab/>
      </w:r>
      <w:r w:rsidR="00931694" w:rsidRPr="000A2EB9">
        <w:rPr>
          <w:bCs/>
          <w:lang w:val="es-ES"/>
        </w:rPr>
        <w:t xml:space="preserve">Tal como lo reseñara el Máximo Tribunal en su pronunciamiento, estos 3 decretos del Poder Ejecutivo Nacional </w:t>
      </w:r>
      <w:r w:rsidR="008D2F00" w:rsidRPr="000A2EB9">
        <w:rPr>
          <w:bCs/>
          <w:lang w:val="es-ES"/>
        </w:rPr>
        <w:t>dispusier</w:t>
      </w:r>
      <w:r w:rsidR="00931694" w:rsidRPr="000A2EB9">
        <w:rPr>
          <w:bCs/>
          <w:lang w:val="es-ES"/>
        </w:rPr>
        <w:t>on que los trabajadores del sector privado comprendidos en convenciones colectivas de trabajo, excepto los trabajadores agrarios y afectados al servicio doméstico, debían percibir de sus empleadores una “</w:t>
      </w:r>
      <w:r w:rsidR="00931694" w:rsidRPr="000A2EB9">
        <w:rPr>
          <w:bCs/>
          <w:i/>
          <w:iCs/>
          <w:lang w:val="es-ES"/>
        </w:rPr>
        <w:t>asignación mensual no remunerativa</w:t>
      </w:r>
      <w:r w:rsidR="00931694" w:rsidRPr="000A2EB9">
        <w:rPr>
          <w:bCs/>
          <w:lang w:val="es-ES"/>
        </w:rPr>
        <w:t>” y de “</w:t>
      </w:r>
      <w:r w:rsidR="00931694" w:rsidRPr="000A2EB9">
        <w:rPr>
          <w:bCs/>
          <w:i/>
          <w:iCs/>
          <w:lang w:val="es-ES"/>
        </w:rPr>
        <w:t>carácter alimentario</w:t>
      </w:r>
      <w:r w:rsidR="00931694" w:rsidRPr="000A2EB9">
        <w:rPr>
          <w:bCs/>
          <w:lang w:val="es-ES"/>
        </w:rPr>
        <w:t xml:space="preserve">”, que fue fijada </w:t>
      </w:r>
      <w:r w:rsidR="00931694" w:rsidRPr="000A2EB9">
        <w:rPr>
          <w:bCs/>
          <w:lang w:val="es-ES"/>
        </w:rPr>
        <w:lastRenderedPageBreak/>
        <w:t>por las mismas normas de manera igualitaria para todos los dependientes alcanzados por las medidas, sin distinción de funciones o nivel remunerativo.</w:t>
      </w:r>
    </w:p>
    <w:p w14:paraId="0DD3F11E" w14:textId="058D3FA3" w:rsidR="009C7035" w:rsidRPr="000A2EB9" w:rsidRDefault="00931694" w:rsidP="00931694">
      <w:pPr>
        <w:spacing w:line="360" w:lineRule="auto"/>
        <w:jc w:val="both"/>
        <w:rPr>
          <w:bCs/>
          <w:lang w:val="es-ES"/>
        </w:rPr>
      </w:pPr>
      <w:r w:rsidRPr="000A2EB9">
        <w:rPr>
          <w:bCs/>
          <w:lang w:val="es-ES"/>
        </w:rPr>
        <w:tab/>
        <w:t>Es importante destacar ya, por la importancia que estos datos han tenido en la decisión, que los mismos decretos dispusieron que, en caso de que la prestación del trabajador en el período de pago correspondiente hubiera sido inferior a la jornada legal o a la establecida en convenio colectivo de trabajo, la “asignación” se liquidaría en forma proporcional, así como que las empresas que hubieran otorgado “otros incrementos con carácter remunerativo o no remunerativo” durante el período inmediatamente anterior que individualizaron podían compensarlos, hasta su concurrencia, con las sumas anteriormente respectivas.</w:t>
      </w:r>
    </w:p>
    <w:p w14:paraId="2401362F" w14:textId="07C15D1E" w:rsidR="009C7035" w:rsidRPr="000A2EB9" w:rsidRDefault="00931694" w:rsidP="00D46625">
      <w:pPr>
        <w:spacing w:line="360" w:lineRule="auto"/>
        <w:jc w:val="both"/>
        <w:rPr>
          <w:bCs/>
          <w:lang w:val="es-ES"/>
        </w:rPr>
      </w:pPr>
      <w:r w:rsidRPr="000A2EB9">
        <w:rPr>
          <w:bCs/>
          <w:lang w:val="es-ES"/>
        </w:rPr>
        <w:tab/>
      </w:r>
      <w:r w:rsidR="00D46625" w:rsidRPr="000A2EB9">
        <w:rPr>
          <w:bCs/>
          <w:lang w:val="es-ES"/>
        </w:rPr>
        <w:t xml:space="preserve">El voto de la mayoría, formado por los ministros Highton, Fayt, Petracchi, Maqueda y Zaffaroni, complementado por el voto concurrente de la jueza Argibay, comenzó efectuando una directa remisión a las consideraciones y conclusiones expuestas en la causa “Pérez”.  </w:t>
      </w:r>
    </w:p>
    <w:p w14:paraId="2A74B412" w14:textId="06D63C63" w:rsidR="005426EA" w:rsidRPr="000A2EB9" w:rsidRDefault="00D12026" w:rsidP="00D20641">
      <w:pPr>
        <w:spacing w:line="360" w:lineRule="auto"/>
        <w:jc w:val="both"/>
        <w:rPr>
          <w:bCs/>
          <w:lang w:val="es-ES"/>
        </w:rPr>
      </w:pPr>
      <w:r w:rsidRPr="000A2EB9">
        <w:rPr>
          <w:bCs/>
          <w:lang w:val="es-ES"/>
        </w:rPr>
        <w:tab/>
        <w:t xml:space="preserve">Dicho en otras palabras, para </w:t>
      </w:r>
      <w:r w:rsidR="005426EA" w:rsidRPr="000A2EB9">
        <w:rPr>
          <w:bCs/>
          <w:lang w:val="es-ES"/>
        </w:rPr>
        <w:t>los</w:t>
      </w:r>
      <w:r w:rsidRPr="000A2EB9">
        <w:rPr>
          <w:bCs/>
          <w:lang w:val="es-ES"/>
        </w:rPr>
        <w:t xml:space="preserve"> magistrados </w:t>
      </w:r>
      <w:r w:rsidR="005426EA" w:rsidRPr="000A2EB9">
        <w:rPr>
          <w:bCs/>
          <w:lang w:val="es-ES"/>
        </w:rPr>
        <w:t xml:space="preserve">que formaron el voto mayoritario </w:t>
      </w:r>
      <w:r w:rsidRPr="000A2EB9">
        <w:rPr>
          <w:bCs/>
          <w:lang w:val="es-ES"/>
        </w:rPr>
        <w:t>bastaría con los fundamentos expuestos en dicho decisorio, precedentemente descripto en este trabajo, para descalificar la validez de esos decretos del PEN en tanto le n</w:t>
      </w:r>
      <w:r w:rsidR="008D2F00" w:rsidRPr="000A2EB9">
        <w:rPr>
          <w:bCs/>
          <w:lang w:val="es-ES"/>
        </w:rPr>
        <w:t>egab</w:t>
      </w:r>
      <w:r w:rsidRPr="000A2EB9">
        <w:rPr>
          <w:bCs/>
          <w:lang w:val="es-ES"/>
        </w:rPr>
        <w:t xml:space="preserve">an naturaleza retributiva a las sumas que </w:t>
      </w:r>
      <w:r w:rsidR="005426EA" w:rsidRPr="000A2EB9">
        <w:rPr>
          <w:bCs/>
          <w:lang w:val="es-ES"/>
        </w:rPr>
        <w:t>los empleadores privados debieron abonar por dichas normas.</w:t>
      </w:r>
      <w:r w:rsidR="008D2F00" w:rsidRPr="000A2EB9">
        <w:rPr>
          <w:bCs/>
          <w:lang w:val="es-ES"/>
        </w:rPr>
        <w:t xml:space="preserve"> </w:t>
      </w:r>
      <w:r w:rsidR="005426EA" w:rsidRPr="000A2EB9">
        <w:rPr>
          <w:bCs/>
          <w:lang w:val="es-ES"/>
        </w:rPr>
        <w:t xml:space="preserve">Sin embargo, la mayoría añadió consideraciones particulares para el caso. </w:t>
      </w:r>
    </w:p>
    <w:p w14:paraId="094DE15F" w14:textId="30F86FF3" w:rsidR="005426EA" w:rsidRPr="000A2EB9" w:rsidRDefault="005426EA" w:rsidP="005426EA">
      <w:pPr>
        <w:spacing w:line="360" w:lineRule="auto"/>
        <w:jc w:val="both"/>
        <w:rPr>
          <w:bCs/>
          <w:lang w:val="es-ES"/>
        </w:rPr>
      </w:pPr>
      <w:r w:rsidRPr="000A2EB9">
        <w:rPr>
          <w:bCs/>
          <w:lang w:val="es-ES"/>
        </w:rPr>
        <w:tab/>
        <w:t>En efecto, apuntaron los jueces que el decreto 1</w:t>
      </w:r>
      <w:r w:rsidR="008D2F00" w:rsidRPr="000A2EB9">
        <w:rPr>
          <w:bCs/>
          <w:lang w:val="es-ES"/>
        </w:rPr>
        <w:t>.</w:t>
      </w:r>
      <w:r w:rsidRPr="000A2EB9">
        <w:rPr>
          <w:bCs/>
          <w:lang w:val="es-ES"/>
        </w:rPr>
        <w:t>273/02, el primero de la serie de</w:t>
      </w:r>
      <w:r w:rsidR="00E06B43" w:rsidRPr="000A2EB9">
        <w:rPr>
          <w:bCs/>
          <w:lang w:val="es-ES"/>
        </w:rPr>
        <w:t xml:space="preserve"> decreto</w:t>
      </w:r>
      <w:r w:rsidRPr="000A2EB9">
        <w:rPr>
          <w:bCs/>
          <w:lang w:val="es-ES"/>
        </w:rPr>
        <w:t>s del PEN</w:t>
      </w:r>
      <w:r w:rsidR="008D2F00" w:rsidRPr="000A2EB9">
        <w:rPr>
          <w:bCs/>
          <w:lang w:val="es-ES"/>
        </w:rPr>
        <w:t xml:space="preserve"> en esta temática</w:t>
      </w:r>
      <w:r w:rsidRPr="000A2EB9">
        <w:rPr>
          <w:bCs/>
          <w:lang w:val="es-ES"/>
        </w:rPr>
        <w:t>, partió según sus propios considerandos de la comprobación de que se había “</w:t>
      </w:r>
      <w:r w:rsidRPr="000A2EB9">
        <w:rPr>
          <w:bCs/>
          <w:i/>
          <w:iCs/>
          <w:lang w:val="es-ES"/>
        </w:rPr>
        <w:t>deteriorado sensiblemente el poder adquisitivo de los salarios perjudicando a los trabajadores</w:t>
      </w:r>
      <w:r w:rsidRPr="000A2EB9">
        <w:rPr>
          <w:bCs/>
          <w:lang w:val="es-ES"/>
        </w:rPr>
        <w:t>” así como de la necesidad de recuperar el “</w:t>
      </w:r>
      <w:r w:rsidRPr="000A2EB9">
        <w:rPr>
          <w:bCs/>
          <w:i/>
          <w:iCs/>
          <w:lang w:val="es-ES"/>
        </w:rPr>
        <w:t>ingreso alimentari</w:t>
      </w:r>
      <w:r w:rsidR="00E06B43" w:rsidRPr="000A2EB9">
        <w:rPr>
          <w:bCs/>
          <w:i/>
          <w:iCs/>
          <w:lang w:val="es-ES"/>
        </w:rPr>
        <w:t>o</w:t>
      </w:r>
      <w:r w:rsidRPr="000A2EB9">
        <w:rPr>
          <w:bCs/>
          <w:lang w:val="es-ES"/>
        </w:rPr>
        <w:t>”, para tender “</w:t>
      </w:r>
      <w:r w:rsidRPr="000A2EB9">
        <w:rPr>
          <w:bCs/>
          <w:i/>
          <w:iCs/>
          <w:lang w:val="es-ES"/>
        </w:rPr>
        <w:t>a corregir el deterioro que vienen padeciendo las remuneraciones en general y los salarios de menor cuantía en especial</w:t>
      </w:r>
      <w:r w:rsidRPr="000A2EB9">
        <w:rPr>
          <w:bCs/>
          <w:lang w:val="es-ES"/>
        </w:rPr>
        <w:t>”, no obstante reconocer que la negociación colectiva sería la herramienta más idónea para generar una “</w:t>
      </w:r>
      <w:r w:rsidRPr="000A2EB9">
        <w:rPr>
          <w:bCs/>
          <w:i/>
          <w:iCs/>
          <w:lang w:val="es-ES"/>
        </w:rPr>
        <w:t>recomposición salarial</w:t>
      </w:r>
      <w:r w:rsidRPr="000A2EB9">
        <w:rPr>
          <w:bCs/>
          <w:lang w:val="es-ES"/>
        </w:rPr>
        <w:t>”. De ello concluyeron que mal pudo dicha norma dar naturaleza “</w:t>
      </w:r>
      <w:r w:rsidRPr="000A2EB9">
        <w:rPr>
          <w:bCs/>
          <w:i/>
          <w:iCs/>
          <w:lang w:val="es-ES"/>
        </w:rPr>
        <w:t>no remunerativa de carácter alimentario</w:t>
      </w:r>
      <w:r w:rsidRPr="000A2EB9">
        <w:rPr>
          <w:bCs/>
          <w:lang w:val="es-ES"/>
        </w:rPr>
        <w:t>” a la “</w:t>
      </w:r>
      <w:r w:rsidRPr="000A2EB9">
        <w:rPr>
          <w:bCs/>
          <w:i/>
          <w:iCs/>
          <w:lang w:val="es-ES"/>
        </w:rPr>
        <w:t>asignación</w:t>
      </w:r>
      <w:r w:rsidRPr="000A2EB9">
        <w:rPr>
          <w:bCs/>
          <w:lang w:val="es-ES"/>
        </w:rPr>
        <w:t>” que dispuso, sobre todo cuando, después de todo, el carácter alimentario es naturalmente propio del salario, con arreglo a la conocida doctrina de la propia Corte que estableció que el salario “constituye, substancialmente, una prestación tendiente a proveer el sustento del trabajador y de su familia”.</w:t>
      </w:r>
    </w:p>
    <w:p w14:paraId="596C6AED" w14:textId="5F8BA34F" w:rsidR="005426EA" w:rsidRPr="000A2EB9" w:rsidRDefault="005426EA" w:rsidP="005426EA">
      <w:pPr>
        <w:spacing w:line="360" w:lineRule="auto"/>
        <w:ind w:firstLine="720"/>
        <w:jc w:val="both"/>
        <w:rPr>
          <w:bCs/>
          <w:lang w:val="es-ES"/>
        </w:rPr>
      </w:pPr>
      <w:r w:rsidRPr="000A2EB9">
        <w:rPr>
          <w:bCs/>
          <w:lang w:val="es-ES"/>
        </w:rPr>
        <w:t>También puntualizaron que los decretos 2</w:t>
      </w:r>
      <w:r w:rsidR="008D2F00" w:rsidRPr="000A2EB9">
        <w:rPr>
          <w:bCs/>
          <w:lang w:val="es-ES"/>
        </w:rPr>
        <w:t>.</w:t>
      </w:r>
      <w:r w:rsidRPr="000A2EB9">
        <w:rPr>
          <w:bCs/>
          <w:lang w:val="es-ES"/>
        </w:rPr>
        <w:t>641/</w:t>
      </w:r>
      <w:r w:rsidR="008D2F00" w:rsidRPr="000A2EB9">
        <w:rPr>
          <w:bCs/>
          <w:lang w:val="es-ES"/>
        </w:rPr>
        <w:t>20</w:t>
      </w:r>
      <w:r w:rsidRPr="000A2EB9">
        <w:rPr>
          <w:bCs/>
          <w:lang w:val="es-ES"/>
        </w:rPr>
        <w:t>02 y 905/</w:t>
      </w:r>
      <w:r w:rsidR="008D2F00" w:rsidRPr="000A2EB9">
        <w:rPr>
          <w:bCs/>
          <w:lang w:val="es-ES"/>
        </w:rPr>
        <w:t>20</w:t>
      </w:r>
      <w:r w:rsidRPr="000A2EB9">
        <w:rPr>
          <w:bCs/>
          <w:lang w:val="es-ES"/>
        </w:rPr>
        <w:t>03 se basaron en análogos motivos, acotando este último que tendía a “</w:t>
      </w:r>
      <w:r w:rsidRPr="000A2EB9">
        <w:rPr>
          <w:bCs/>
          <w:i/>
          <w:iCs/>
          <w:lang w:val="es-ES"/>
        </w:rPr>
        <w:t>continuar con la política de recomposición del poder adquisitivo de los salarios de los trabajadores que fue generada a partir del dictado del Decreto No. 1273/02</w:t>
      </w:r>
      <w:r w:rsidRPr="000A2EB9">
        <w:rPr>
          <w:bCs/>
          <w:lang w:val="es-ES"/>
        </w:rPr>
        <w:t>".</w:t>
      </w:r>
    </w:p>
    <w:p w14:paraId="40E95255" w14:textId="3A8144A9" w:rsidR="005426EA" w:rsidRPr="000A2EB9" w:rsidRDefault="000F6866" w:rsidP="00D20641">
      <w:pPr>
        <w:spacing w:line="360" w:lineRule="auto"/>
        <w:jc w:val="both"/>
        <w:rPr>
          <w:bCs/>
          <w:lang w:val="es-ES"/>
        </w:rPr>
      </w:pPr>
      <w:r w:rsidRPr="000A2EB9">
        <w:rPr>
          <w:bCs/>
          <w:lang w:val="es-ES"/>
        </w:rPr>
        <w:tab/>
        <w:t>Más allá de esas consideraciones, los mencionados ministros hicieron hincapié en que el desconocimiento de la naturaleza retributiva de los conceptos recibidos por el accionante trastocó, asimismo, la entidad de la reparación prevista en el art. 245 de la Ley de Contrato de Trabajo, basada en la remuneración mensual habitual del trabajador.</w:t>
      </w:r>
    </w:p>
    <w:p w14:paraId="1F18CD95" w14:textId="3B518FE9" w:rsidR="00E06B43" w:rsidRPr="000A2EB9" w:rsidRDefault="000F6866" w:rsidP="00E06B43">
      <w:pPr>
        <w:spacing w:line="360" w:lineRule="auto"/>
        <w:jc w:val="both"/>
        <w:rPr>
          <w:bCs/>
          <w:lang w:val="es-ES"/>
        </w:rPr>
      </w:pPr>
      <w:r w:rsidRPr="000A2EB9">
        <w:rPr>
          <w:bCs/>
          <w:lang w:val="es-ES"/>
        </w:rPr>
        <w:lastRenderedPageBreak/>
        <w:tab/>
        <w:t xml:space="preserve">El voto </w:t>
      </w:r>
      <w:r w:rsidR="00E06B43" w:rsidRPr="000A2EB9">
        <w:rPr>
          <w:bCs/>
          <w:lang w:val="es-ES"/>
        </w:rPr>
        <w:t>concurrente de la jueza Argibay enfocó la cuestión desde otro punto de vista, pues aseveró que los decretos 1</w:t>
      </w:r>
      <w:r w:rsidR="008D2F00" w:rsidRPr="000A2EB9">
        <w:rPr>
          <w:bCs/>
          <w:lang w:val="es-ES"/>
        </w:rPr>
        <w:t>.</w:t>
      </w:r>
      <w:r w:rsidR="00E06B43" w:rsidRPr="000A2EB9">
        <w:rPr>
          <w:bCs/>
          <w:lang w:val="es-ES"/>
        </w:rPr>
        <w:t>273/</w:t>
      </w:r>
      <w:r w:rsidR="008D2F00" w:rsidRPr="000A2EB9">
        <w:rPr>
          <w:bCs/>
          <w:lang w:val="es-ES"/>
        </w:rPr>
        <w:t>20</w:t>
      </w:r>
      <w:r w:rsidR="00E06B43" w:rsidRPr="000A2EB9">
        <w:rPr>
          <w:bCs/>
          <w:lang w:val="es-ES"/>
        </w:rPr>
        <w:t>02, 2</w:t>
      </w:r>
      <w:r w:rsidR="008D2F00" w:rsidRPr="000A2EB9">
        <w:rPr>
          <w:bCs/>
          <w:lang w:val="es-ES"/>
        </w:rPr>
        <w:t>.</w:t>
      </w:r>
      <w:r w:rsidR="00E06B43" w:rsidRPr="000A2EB9">
        <w:rPr>
          <w:bCs/>
          <w:lang w:val="es-ES"/>
        </w:rPr>
        <w:t>641/</w:t>
      </w:r>
      <w:r w:rsidR="008D2F00" w:rsidRPr="000A2EB9">
        <w:rPr>
          <w:bCs/>
          <w:lang w:val="es-ES"/>
        </w:rPr>
        <w:t>20</w:t>
      </w:r>
      <w:r w:rsidR="00E06B43" w:rsidRPr="000A2EB9">
        <w:rPr>
          <w:bCs/>
          <w:lang w:val="es-ES"/>
        </w:rPr>
        <w:t>02 y 905/</w:t>
      </w:r>
      <w:r w:rsidR="008D2F00" w:rsidRPr="000A2EB9">
        <w:rPr>
          <w:bCs/>
          <w:lang w:val="es-ES"/>
        </w:rPr>
        <w:t>20</w:t>
      </w:r>
      <w:r w:rsidR="00E06B43" w:rsidRPr="000A2EB9">
        <w:rPr>
          <w:bCs/>
          <w:lang w:val="es-ES"/>
        </w:rPr>
        <w:t>03 adoptaron una decisión cuyo ámbito de aplicación es el derecho privado, pues alcanza relaciones entre particulares como son las derivadas del contrato de trabajo y, por ello, la potestad legislativa en la materia es el Congreso Nacional.</w:t>
      </w:r>
    </w:p>
    <w:p w14:paraId="0BBCD69C" w14:textId="0442BE1E" w:rsidR="00E06B43" w:rsidRPr="000A2EB9" w:rsidRDefault="00E06B43" w:rsidP="00E06B43">
      <w:pPr>
        <w:spacing w:line="360" w:lineRule="auto"/>
        <w:ind w:firstLine="720"/>
        <w:jc w:val="both"/>
        <w:rPr>
          <w:bCs/>
          <w:lang w:val="es-ES"/>
        </w:rPr>
      </w:pPr>
      <w:r w:rsidRPr="000A2EB9">
        <w:rPr>
          <w:bCs/>
          <w:lang w:val="es-ES"/>
        </w:rPr>
        <w:t xml:space="preserve">En este camino, la jueza Argibay criticó muy duramente la decisión de la Cámara </w:t>
      </w:r>
      <w:r w:rsidR="008D2F00" w:rsidRPr="000A2EB9">
        <w:rPr>
          <w:bCs/>
          <w:lang w:val="es-ES"/>
        </w:rPr>
        <w:t xml:space="preserve">de Apelaciones </w:t>
      </w:r>
      <w:r w:rsidRPr="000A2EB9">
        <w:rPr>
          <w:bCs/>
          <w:lang w:val="es-ES"/>
        </w:rPr>
        <w:t xml:space="preserve">que validara esos decretos presidenciales, sosteniendo no es una respuesta válida la que diera </w:t>
      </w:r>
      <w:r w:rsidR="008D2F00" w:rsidRPr="000A2EB9">
        <w:rPr>
          <w:bCs/>
          <w:lang w:val="es-ES"/>
        </w:rPr>
        <w:t xml:space="preserve">ese Tribunal </w:t>
      </w:r>
      <w:r w:rsidRPr="000A2EB9">
        <w:rPr>
          <w:bCs/>
          <w:lang w:val="es-ES"/>
        </w:rPr>
        <w:t>en tanto aludió a la “discreción legislativa” para reglamentar el art. 14 bis de la Constitución Nacional en lo atinente al carácter que deben tener tales pagos. Este argumento, sostuvo esta magistrada, parece tratar de manera equivalente una ley dictada por el Congreso y los decretos del Poder Ejecutivo en una materia que resulta competencia del primero, como quedó dicho.</w:t>
      </w:r>
    </w:p>
    <w:p w14:paraId="3BC050EB" w14:textId="21782815" w:rsidR="00E06B43" w:rsidRPr="000A2EB9" w:rsidRDefault="00E06B43" w:rsidP="00E06B43">
      <w:pPr>
        <w:spacing w:line="360" w:lineRule="auto"/>
        <w:ind w:firstLine="720"/>
        <w:jc w:val="both"/>
        <w:rPr>
          <w:bCs/>
          <w:lang w:val="es-ES"/>
        </w:rPr>
      </w:pPr>
      <w:r w:rsidRPr="000A2EB9">
        <w:rPr>
          <w:bCs/>
          <w:lang w:val="es-ES"/>
        </w:rPr>
        <w:t>De ahí que, en su opinión, el Tribunal a quo ha</w:t>
      </w:r>
      <w:r w:rsidR="008D2F00" w:rsidRPr="000A2EB9">
        <w:rPr>
          <w:bCs/>
          <w:lang w:val="es-ES"/>
        </w:rPr>
        <w:t>bía</w:t>
      </w:r>
      <w:r w:rsidRPr="000A2EB9">
        <w:rPr>
          <w:bCs/>
          <w:lang w:val="es-ES"/>
        </w:rPr>
        <w:t xml:space="preserve"> reconocido al Ejecutivo atribuciones para dictar disposiciones de carácter legislativo, en manifiesto apartamiento de lo dispuesto por el art. 99.3, segundo párrafo de la Constitución Nacional en cuanto dispone: “</w:t>
      </w:r>
      <w:r w:rsidRPr="000A2EB9">
        <w:rPr>
          <w:bCs/>
          <w:i/>
          <w:iCs/>
          <w:lang w:val="es-ES"/>
        </w:rPr>
        <w:t>El Poder Ejecutivo no podrá en ningún caso bajo pena de nulidad absoluta e insanable, emitir disposiciones de carácter legislativo</w:t>
      </w:r>
      <w:r w:rsidRPr="000A2EB9">
        <w:rPr>
          <w:bCs/>
          <w:lang w:val="es-ES"/>
        </w:rPr>
        <w:t>”</w:t>
      </w:r>
      <w:r w:rsidR="00A64E79" w:rsidRPr="000A2EB9">
        <w:rPr>
          <w:bCs/>
          <w:lang w:val="es-ES"/>
        </w:rPr>
        <w:t>.</w:t>
      </w:r>
    </w:p>
    <w:p w14:paraId="04462627" w14:textId="2E4C4952" w:rsidR="00A64E79" w:rsidRPr="000A2EB9" w:rsidRDefault="00F13AD4" w:rsidP="00E06B43">
      <w:pPr>
        <w:spacing w:line="360" w:lineRule="auto"/>
        <w:ind w:firstLine="720"/>
        <w:jc w:val="both"/>
        <w:rPr>
          <w:bCs/>
          <w:lang w:val="es-ES"/>
        </w:rPr>
      </w:pPr>
      <w:bookmarkStart w:id="1" w:name="_Hlk39052975"/>
      <w:r w:rsidRPr="000A2EB9">
        <w:rPr>
          <w:bCs/>
          <w:lang w:val="es-ES"/>
        </w:rPr>
        <w:t>C</w:t>
      </w:r>
      <w:r w:rsidR="008D2F00" w:rsidRPr="000A2EB9">
        <w:rPr>
          <w:bCs/>
          <w:lang w:val="es-ES"/>
        </w:rPr>
        <w:t xml:space="preserve">omo lo anticipé en nota, </w:t>
      </w:r>
      <w:r w:rsidR="00CE5E43" w:rsidRPr="000A2EB9">
        <w:rPr>
          <w:bCs/>
          <w:lang w:val="es-ES"/>
        </w:rPr>
        <w:t>el párrafo 3º del apartado 3 del art. 99 de la Constitución Nacional, luego de la reforma constitucional de 1994, prevé una excepción a esa regla de exclusión al establecer que “</w:t>
      </w:r>
      <w:r w:rsidR="00CE5E43" w:rsidRPr="000A2EB9">
        <w:rPr>
          <w:bCs/>
          <w:i/>
          <w:iCs/>
          <w:lang w:val="es-ES"/>
        </w:rPr>
        <w:t>Solamente cuando circunstancias excepcionales hicieran imposible seguir los trámites ordinarios previstos por esta Constitución para la sanción de las leyes, y no se trate de normas que regulen materia penal, tributaria, electoral o el régimen de los partidos políticos, podrá dictar decretos por razones de necesidad y urgencia, los que serán decididos en acuerdo general de ministros que deberán refrendarlos, conjuntamente con el jefe de gabinete de ministros</w:t>
      </w:r>
      <w:r w:rsidR="00CE5E43" w:rsidRPr="000A2EB9">
        <w:rPr>
          <w:bCs/>
          <w:lang w:val="es-ES"/>
        </w:rPr>
        <w:t>” y</w:t>
      </w:r>
      <w:r w:rsidRPr="000A2EB9">
        <w:rPr>
          <w:bCs/>
          <w:lang w:val="es-ES"/>
        </w:rPr>
        <w:t>a</w:t>
      </w:r>
      <w:r w:rsidR="00CE5E43" w:rsidRPr="000A2EB9">
        <w:rPr>
          <w:bCs/>
          <w:lang w:val="es-ES"/>
        </w:rPr>
        <w:t xml:space="preserve"> que los 3 decretos en cuestión fueron dictados al amparo de dicha regla constitucional y en una clara situación de emergencia.</w:t>
      </w:r>
    </w:p>
    <w:bookmarkEnd w:id="1"/>
    <w:p w14:paraId="6AD920A7" w14:textId="05038275" w:rsidR="00CE5E43" w:rsidRPr="000A2EB9" w:rsidRDefault="00CE5E43" w:rsidP="00CE5E43">
      <w:pPr>
        <w:spacing w:line="360" w:lineRule="auto"/>
        <w:ind w:firstLine="720"/>
        <w:jc w:val="both"/>
        <w:rPr>
          <w:bCs/>
          <w:lang w:val="es-ES"/>
        </w:rPr>
      </w:pPr>
      <w:r w:rsidRPr="000A2EB9">
        <w:rPr>
          <w:bCs/>
          <w:lang w:val="es-ES"/>
        </w:rPr>
        <w:t>La magistrada agregó, por ello, que en su opinión un decreto de necesidad y urgencia no adquiere tal condición por la mera decisión del Presidente de adjudicarle ese rótulo, sino cuando se han seguido para su dictado los procedimientos establecidos en la Constitución Nacional, especialmente, en sus arts. 99</w:t>
      </w:r>
      <w:r w:rsidR="00F13AD4" w:rsidRPr="000A2EB9">
        <w:rPr>
          <w:bCs/>
          <w:lang w:val="es-ES"/>
        </w:rPr>
        <w:t xml:space="preserve"> apartado </w:t>
      </w:r>
      <w:r w:rsidRPr="000A2EB9">
        <w:rPr>
          <w:bCs/>
          <w:lang w:val="es-ES"/>
        </w:rPr>
        <w:t>3 y 100</w:t>
      </w:r>
      <w:r w:rsidR="00F13AD4" w:rsidRPr="000A2EB9">
        <w:rPr>
          <w:bCs/>
          <w:lang w:val="es-ES"/>
        </w:rPr>
        <w:t xml:space="preserve"> apartado </w:t>
      </w:r>
      <w:r w:rsidRPr="000A2EB9">
        <w:rPr>
          <w:bCs/>
          <w:lang w:val="es-ES"/>
        </w:rPr>
        <w:t>13; añadiendo que en el caso no se ha demostrado que los decretos de necesidad y urgencia objetados hayan sido sometidos a consideración de la Comisión Bicameral Permanente, por cuanto a la fecha en que fueron dictados no estaba constituida y por lo tanto, no hubo pronunciamiento oportuno por parte de las Cámaras del Congreso.</w:t>
      </w:r>
    </w:p>
    <w:p w14:paraId="763A78CB" w14:textId="77777777" w:rsidR="00400CA4" w:rsidRPr="000A2EB9" w:rsidRDefault="00400CA4" w:rsidP="00D20641">
      <w:pPr>
        <w:spacing w:line="360" w:lineRule="auto"/>
        <w:jc w:val="both"/>
        <w:rPr>
          <w:bCs/>
          <w:lang w:val="es-ES"/>
        </w:rPr>
      </w:pPr>
      <w:r w:rsidRPr="000A2EB9">
        <w:rPr>
          <w:bCs/>
          <w:lang w:val="es-ES"/>
        </w:rPr>
        <w:tab/>
        <w:t>Con ese argumento constitucional formal, la vocal Argibay concordó en que debía dejarse sin efecto la sentencia de la Cámara.</w:t>
      </w:r>
    </w:p>
    <w:p w14:paraId="584ACA82" w14:textId="26BE850A" w:rsidR="00D20641" w:rsidRPr="000A2EB9" w:rsidRDefault="00400CA4" w:rsidP="00D20641">
      <w:pPr>
        <w:spacing w:line="360" w:lineRule="auto"/>
        <w:jc w:val="both"/>
        <w:rPr>
          <w:bCs/>
          <w:lang w:val="es-ES"/>
        </w:rPr>
      </w:pPr>
      <w:r w:rsidRPr="000A2EB9">
        <w:rPr>
          <w:bCs/>
          <w:lang w:val="es-ES"/>
        </w:rPr>
        <w:tab/>
        <w:t xml:space="preserve">Finalmente, en lo que a esta temática respecta, el 04/06/2013 el Máximo Tribunal argentino completó esta trilogía sobre la conceptualización del salario en el caso </w:t>
      </w:r>
      <w:r w:rsidRPr="000A2EB9">
        <w:rPr>
          <w:b/>
          <w:lang w:val="es-ES"/>
        </w:rPr>
        <w:t>“</w:t>
      </w:r>
      <w:r w:rsidR="00D20641" w:rsidRPr="000A2EB9">
        <w:rPr>
          <w:b/>
          <w:lang w:val="es-ES"/>
        </w:rPr>
        <w:tab/>
        <w:t>Díaz, Paulo Vicente c/ Cervecería y Maltería Quilmes SA</w:t>
      </w:r>
      <w:r w:rsidRPr="000A2EB9">
        <w:rPr>
          <w:b/>
          <w:lang w:val="es-ES"/>
        </w:rPr>
        <w:t>”</w:t>
      </w:r>
      <w:r w:rsidRPr="000A2EB9">
        <w:rPr>
          <w:bCs/>
          <w:lang w:val="es-ES"/>
        </w:rPr>
        <w:t xml:space="preserve">, en el que estaban en juego </w:t>
      </w:r>
      <w:r w:rsidR="00D20641" w:rsidRPr="000A2EB9">
        <w:rPr>
          <w:bCs/>
          <w:lang w:val="es-ES"/>
        </w:rPr>
        <w:t xml:space="preserve">cláusulas de </w:t>
      </w:r>
      <w:r w:rsidRPr="000A2EB9">
        <w:rPr>
          <w:bCs/>
          <w:lang w:val="es-ES"/>
        </w:rPr>
        <w:t xml:space="preserve">un </w:t>
      </w:r>
      <w:r w:rsidR="00F13AD4" w:rsidRPr="000A2EB9">
        <w:rPr>
          <w:bCs/>
          <w:lang w:val="es-ES"/>
        </w:rPr>
        <w:t>c</w:t>
      </w:r>
      <w:r w:rsidRPr="000A2EB9">
        <w:rPr>
          <w:bCs/>
          <w:lang w:val="es-ES"/>
        </w:rPr>
        <w:t xml:space="preserve">onvenio </w:t>
      </w:r>
      <w:r w:rsidR="00F13AD4" w:rsidRPr="000A2EB9">
        <w:rPr>
          <w:bCs/>
          <w:lang w:val="es-ES"/>
        </w:rPr>
        <w:t>c</w:t>
      </w:r>
      <w:r w:rsidRPr="000A2EB9">
        <w:rPr>
          <w:bCs/>
          <w:lang w:val="es-ES"/>
        </w:rPr>
        <w:t xml:space="preserve">olectivo de </w:t>
      </w:r>
      <w:r w:rsidR="00F13AD4" w:rsidRPr="000A2EB9">
        <w:rPr>
          <w:bCs/>
          <w:lang w:val="es-ES"/>
        </w:rPr>
        <w:t>t</w:t>
      </w:r>
      <w:r w:rsidRPr="000A2EB9">
        <w:rPr>
          <w:bCs/>
          <w:lang w:val="es-ES"/>
        </w:rPr>
        <w:t>rabajo que c</w:t>
      </w:r>
      <w:r w:rsidR="00D20641" w:rsidRPr="000A2EB9">
        <w:rPr>
          <w:bCs/>
          <w:lang w:val="es-ES"/>
        </w:rPr>
        <w:t>alifica</w:t>
      </w:r>
      <w:r w:rsidRPr="000A2EB9">
        <w:rPr>
          <w:bCs/>
          <w:lang w:val="es-ES"/>
        </w:rPr>
        <w:t>ro</w:t>
      </w:r>
      <w:r w:rsidR="00D20641" w:rsidRPr="000A2EB9">
        <w:rPr>
          <w:bCs/>
          <w:lang w:val="es-ES"/>
        </w:rPr>
        <w:t xml:space="preserve">n de </w:t>
      </w:r>
      <w:r w:rsidRPr="000A2EB9">
        <w:rPr>
          <w:bCs/>
          <w:lang w:val="es-ES"/>
        </w:rPr>
        <w:t>“</w:t>
      </w:r>
      <w:r w:rsidR="00D20641" w:rsidRPr="000A2EB9">
        <w:rPr>
          <w:bCs/>
          <w:lang w:val="es-ES"/>
        </w:rPr>
        <w:t>no salariales</w:t>
      </w:r>
      <w:r w:rsidRPr="000A2EB9">
        <w:rPr>
          <w:bCs/>
          <w:lang w:val="es-ES"/>
        </w:rPr>
        <w:t>”</w:t>
      </w:r>
      <w:r w:rsidR="00D20641" w:rsidRPr="000A2EB9">
        <w:rPr>
          <w:bCs/>
          <w:lang w:val="es-ES"/>
        </w:rPr>
        <w:t xml:space="preserve"> las sumas pactadas</w:t>
      </w:r>
      <w:r w:rsidRPr="000A2EB9">
        <w:rPr>
          <w:bCs/>
          <w:lang w:val="es-ES"/>
        </w:rPr>
        <w:t xml:space="preserve"> </w:t>
      </w:r>
      <w:r w:rsidR="00F13AD4" w:rsidRPr="000A2EB9">
        <w:rPr>
          <w:bCs/>
          <w:lang w:val="es-ES"/>
        </w:rPr>
        <w:t>en la respectiva negociación colectiva</w:t>
      </w:r>
      <w:r w:rsidRPr="000A2EB9">
        <w:rPr>
          <w:bCs/>
          <w:lang w:val="es-ES"/>
        </w:rPr>
        <w:t>.</w:t>
      </w:r>
    </w:p>
    <w:p w14:paraId="58C95753" w14:textId="0B705772" w:rsidR="00400CA4" w:rsidRPr="000A2EB9" w:rsidRDefault="00400CA4" w:rsidP="00D20641">
      <w:pPr>
        <w:spacing w:line="360" w:lineRule="auto"/>
        <w:jc w:val="both"/>
        <w:rPr>
          <w:bCs/>
          <w:lang w:val="es-ES"/>
        </w:rPr>
      </w:pPr>
      <w:r w:rsidRPr="000A2EB9">
        <w:rPr>
          <w:bCs/>
          <w:lang w:val="es-ES"/>
        </w:rPr>
        <w:lastRenderedPageBreak/>
        <w:tab/>
      </w:r>
      <w:r w:rsidR="00E3451C" w:rsidRPr="000A2EB9">
        <w:rPr>
          <w:bCs/>
          <w:lang w:val="es-ES"/>
        </w:rPr>
        <w:t>También en este caso la decisión objeto de recurso extraordinario había sido dictada por la Sala VIII de la CNAT, que confirmara la sentencia primera instancia rechazando el planteo de inconstitucionalidad deducido por la parte actora.</w:t>
      </w:r>
    </w:p>
    <w:p w14:paraId="6FD75760" w14:textId="0F10030D" w:rsidR="00E3451C" w:rsidRPr="000A2EB9" w:rsidRDefault="00E3451C" w:rsidP="00D20641">
      <w:pPr>
        <w:spacing w:line="360" w:lineRule="auto"/>
        <w:jc w:val="both"/>
        <w:rPr>
          <w:bCs/>
          <w:lang w:val="es-ES"/>
        </w:rPr>
      </w:pPr>
      <w:r w:rsidRPr="000A2EB9">
        <w:rPr>
          <w:bCs/>
          <w:lang w:val="es-ES"/>
        </w:rPr>
        <w:tab/>
        <w:t>La Corte Suprema se expidió con el voto mayoritario de los jueces Petracchi, Highton y Argibay, mientras que los ministros Maqueda y Zaffaroni concurrieron a la solución propuesta por la mayoría con un voto conjunto.</w:t>
      </w:r>
    </w:p>
    <w:p w14:paraId="7451C570" w14:textId="23973FAE" w:rsidR="00E3451C" w:rsidRPr="000A2EB9" w:rsidRDefault="00E3451C" w:rsidP="00D20641">
      <w:pPr>
        <w:spacing w:line="360" w:lineRule="auto"/>
        <w:jc w:val="both"/>
        <w:rPr>
          <w:bCs/>
          <w:lang w:val="es-ES"/>
        </w:rPr>
      </w:pPr>
      <w:r w:rsidRPr="000A2EB9">
        <w:rPr>
          <w:bCs/>
          <w:lang w:val="es-ES"/>
        </w:rPr>
        <w:tab/>
      </w:r>
      <w:r w:rsidR="0030068E" w:rsidRPr="000A2EB9">
        <w:rPr>
          <w:bCs/>
          <w:lang w:val="es-ES"/>
        </w:rPr>
        <w:t xml:space="preserve">En “Díaz” </w:t>
      </w:r>
      <w:r w:rsidR="005C548D" w:rsidRPr="000A2EB9">
        <w:rPr>
          <w:bCs/>
          <w:lang w:val="es-ES"/>
        </w:rPr>
        <w:t>la parte actora discutía, mediante el recurso extraordinario, dos aspectos. Por un lado, sostuvo la inconstitucionalidad del art. 103</w:t>
      </w:r>
      <w:r w:rsidR="00F13AD4" w:rsidRPr="000A2EB9">
        <w:rPr>
          <w:bCs/>
          <w:lang w:val="es-ES"/>
        </w:rPr>
        <w:t xml:space="preserve"> </w:t>
      </w:r>
      <w:r w:rsidR="005C548D" w:rsidRPr="000A2EB9">
        <w:rPr>
          <w:bCs/>
          <w:lang w:val="es-ES"/>
        </w:rPr>
        <w:t xml:space="preserve">bis inciso c) de la LCT en relación a vales de comida otorgados por la demandada con carácter no salarial; y, por el otro, cuestionó la aptitud de la negociación colectiva para negar la naturaleza remuneratoria de las sumas abonadas por la empresa en virtud de lo dispuesto en el </w:t>
      </w:r>
      <w:r w:rsidR="00F13AD4" w:rsidRPr="000A2EB9">
        <w:rPr>
          <w:bCs/>
          <w:lang w:val="es-ES"/>
        </w:rPr>
        <w:t>a</w:t>
      </w:r>
      <w:r w:rsidR="005C548D" w:rsidRPr="000A2EB9">
        <w:rPr>
          <w:bCs/>
          <w:lang w:val="es-ES"/>
        </w:rPr>
        <w:t xml:space="preserve">cuerdo salarial alcanzado </w:t>
      </w:r>
      <w:r w:rsidR="00F13AD4" w:rsidRPr="000A2EB9">
        <w:rPr>
          <w:bCs/>
          <w:lang w:val="es-ES"/>
        </w:rPr>
        <w:t xml:space="preserve">entre las empresas y </w:t>
      </w:r>
      <w:r w:rsidR="005C548D" w:rsidRPr="000A2EB9">
        <w:rPr>
          <w:bCs/>
          <w:lang w:val="es-ES"/>
        </w:rPr>
        <w:t>el gremio.</w:t>
      </w:r>
    </w:p>
    <w:p w14:paraId="3C54B12D" w14:textId="43418E92" w:rsidR="005C548D" w:rsidRPr="000A2EB9" w:rsidRDefault="005C548D" w:rsidP="00D20641">
      <w:pPr>
        <w:spacing w:line="360" w:lineRule="auto"/>
        <w:jc w:val="both"/>
        <w:rPr>
          <w:bCs/>
          <w:lang w:val="es-ES"/>
        </w:rPr>
      </w:pPr>
      <w:r w:rsidRPr="000A2EB9">
        <w:rPr>
          <w:bCs/>
          <w:lang w:val="es-ES"/>
        </w:rPr>
        <w:tab/>
        <w:t>La primera cuestión quedó zanjada con la remisión que hicieron los 5 jueces a sus respectivas consideraciones en el precedente “Pérez”, ya descripto aquí.</w:t>
      </w:r>
    </w:p>
    <w:p w14:paraId="450742A4" w14:textId="5FC645B7" w:rsidR="005C548D" w:rsidRPr="000A2EB9" w:rsidRDefault="005C548D" w:rsidP="00D20641">
      <w:pPr>
        <w:spacing w:line="360" w:lineRule="auto"/>
        <w:jc w:val="both"/>
        <w:rPr>
          <w:bCs/>
          <w:lang w:val="es-ES"/>
        </w:rPr>
      </w:pPr>
      <w:r w:rsidRPr="000A2EB9">
        <w:rPr>
          <w:bCs/>
          <w:lang w:val="es-ES"/>
        </w:rPr>
        <w:tab/>
      </w:r>
      <w:r w:rsidR="00F13AD4" w:rsidRPr="000A2EB9">
        <w:rPr>
          <w:bCs/>
          <w:lang w:val="es-ES"/>
        </w:rPr>
        <w:t>E</w:t>
      </w:r>
      <w:r w:rsidRPr="000A2EB9">
        <w:rPr>
          <w:bCs/>
          <w:lang w:val="es-ES"/>
        </w:rPr>
        <w:t>n relación al rubro que la demandada abonaba como consecuencia de un acuerdo salarial con el gremio de su actividad, titulado "</w:t>
      </w:r>
      <w:r w:rsidRPr="000A2EB9">
        <w:rPr>
          <w:bCs/>
          <w:i/>
          <w:iCs/>
          <w:lang w:val="es-ES"/>
        </w:rPr>
        <w:t>Anticipo Acta Acuerdo Nov. 2005</w:t>
      </w:r>
      <w:r w:rsidRPr="000A2EB9">
        <w:rPr>
          <w:bCs/>
          <w:lang w:val="es-ES"/>
        </w:rPr>
        <w:t xml:space="preserve">", el voto de los jueces Petracchi, Highton y Argibay recordó, citando lo expuesto en “Pérez”, </w:t>
      </w:r>
      <w:r w:rsidR="00F13AD4" w:rsidRPr="000A2EB9">
        <w:rPr>
          <w:bCs/>
          <w:lang w:val="es-ES"/>
        </w:rPr>
        <w:t xml:space="preserve">que </w:t>
      </w:r>
      <w:r w:rsidRPr="000A2EB9">
        <w:rPr>
          <w:bCs/>
          <w:lang w:val="es-ES"/>
        </w:rPr>
        <w:t>el trabajador constituye un sujeto de "preferente tutela constitucional” y que, hallándose ratificado por la República Argentina el Convenio 95 de la OIT, resulta</w:t>
      </w:r>
      <w:r w:rsidR="00F13AD4" w:rsidRPr="000A2EB9">
        <w:rPr>
          <w:bCs/>
          <w:lang w:val="es-ES"/>
        </w:rPr>
        <w:t>ba</w:t>
      </w:r>
      <w:r w:rsidRPr="000A2EB9">
        <w:rPr>
          <w:bCs/>
          <w:lang w:val="es-ES"/>
        </w:rPr>
        <w:t xml:space="preserve"> claro que el concepto en cuestión reviste naturaleza salarial, a la luz de lo dispuesto en el arto lº de dicho convenio, en cuanto establece que: "</w:t>
      </w:r>
      <w:r w:rsidRPr="000A2EB9">
        <w:rPr>
          <w:bCs/>
          <w:i/>
          <w:iCs/>
          <w:lang w:val="es-ES"/>
        </w:rPr>
        <w:t>el término salario significa la remuneración o ganancia, sea cual fuere su denominación o método de cálculo, siempre que pueda evaluarse en efectivo, fijada por acuerdo o por la legislación nacional, y debida por un empleador a un trabajador en virtud de un contrato de trabajo, escrito o verbal, por el trabajo que este último haya efectuado o deba efectuar o por servicios que haya prestado o deba prestar</w:t>
      </w:r>
      <w:r w:rsidRPr="000A2EB9">
        <w:rPr>
          <w:bCs/>
          <w:lang w:val="es-ES"/>
        </w:rPr>
        <w:t>”.</w:t>
      </w:r>
    </w:p>
    <w:p w14:paraId="7FE03F7A" w14:textId="080011C3" w:rsidR="006C732E" w:rsidRPr="000A2EB9" w:rsidRDefault="005C548D" w:rsidP="006C732E">
      <w:pPr>
        <w:spacing w:line="360" w:lineRule="auto"/>
        <w:jc w:val="both"/>
        <w:rPr>
          <w:bCs/>
          <w:lang w:val="es-ES"/>
        </w:rPr>
      </w:pPr>
      <w:r w:rsidRPr="000A2EB9">
        <w:rPr>
          <w:bCs/>
          <w:lang w:val="es-ES"/>
        </w:rPr>
        <w:tab/>
      </w:r>
      <w:r w:rsidR="006C732E" w:rsidRPr="000A2EB9">
        <w:rPr>
          <w:bCs/>
          <w:lang w:val="es-ES"/>
        </w:rPr>
        <w:t xml:space="preserve">Agregó el voto de la mayoría que dado </w:t>
      </w:r>
      <w:r w:rsidR="00F13AD4" w:rsidRPr="000A2EB9">
        <w:rPr>
          <w:bCs/>
          <w:lang w:val="es-ES"/>
        </w:rPr>
        <w:t xml:space="preserve">en tanto </w:t>
      </w:r>
      <w:r w:rsidR="006C732E" w:rsidRPr="000A2EB9">
        <w:rPr>
          <w:bCs/>
          <w:lang w:val="es-ES"/>
        </w:rPr>
        <w:t>la Nación Argentina ratifica un tratado, "</w:t>
      </w:r>
      <w:r w:rsidR="006C732E" w:rsidRPr="000A2EB9">
        <w:rPr>
          <w:bCs/>
          <w:i/>
          <w:iCs/>
          <w:lang w:val="es-ES"/>
        </w:rPr>
        <w:t>se obliga internacionalmente a que sus órganos administrativos y jurisdiccionales lo apliquen a los supuestos que ese tratado contemple, siempre que contenga descripciones lo suficientemente concretas de tales supuestos de hecho que hagan posible su aplicación inmediata</w:t>
      </w:r>
      <w:r w:rsidR="006C732E" w:rsidRPr="000A2EB9">
        <w:rPr>
          <w:bCs/>
          <w:lang w:val="es-ES"/>
        </w:rPr>
        <w:t>".</w:t>
      </w:r>
    </w:p>
    <w:p w14:paraId="094AE54E" w14:textId="0BCE9F32" w:rsidR="006C732E" w:rsidRPr="000A2EB9" w:rsidRDefault="006C732E" w:rsidP="006C732E">
      <w:pPr>
        <w:spacing w:line="360" w:lineRule="auto"/>
        <w:jc w:val="both"/>
        <w:rPr>
          <w:bCs/>
          <w:lang w:val="es-ES"/>
        </w:rPr>
      </w:pPr>
      <w:r w:rsidRPr="000A2EB9">
        <w:rPr>
          <w:bCs/>
          <w:lang w:val="es-ES"/>
        </w:rPr>
        <w:tab/>
        <w:t>Por tales razones, esos magistrados votaron por declarar la invalidez constitucional del art. 103 bis, inc. c) de la Ley de Contrato de Trabajo en su aplicación al caso y, en lo que en este comentario importa, también de la cláusula convencional mediante la cual se pactó el "</w:t>
      </w:r>
      <w:r w:rsidRPr="000A2EB9">
        <w:rPr>
          <w:bCs/>
          <w:i/>
          <w:iCs/>
          <w:lang w:val="es-ES"/>
        </w:rPr>
        <w:t>Anticipo Acta Acuerdo Nov. 2005</w:t>
      </w:r>
      <w:r w:rsidRPr="000A2EB9">
        <w:rPr>
          <w:bCs/>
          <w:lang w:val="es-ES"/>
        </w:rPr>
        <w:t>", en cuanto desconocen la naturaleza salarial de las prestaciones que establecen.</w:t>
      </w:r>
    </w:p>
    <w:p w14:paraId="64A831FF" w14:textId="7C7DCD66" w:rsidR="00937D34" w:rsidRPr="000A2EB9" w:rsidRDefault="006C732E" w:rsidP="002A2D77">
      <w:pPr>
        <w:spacing w:line="360" w:lineRule="auto"/>
        <w:jc w:val="both"/>
        <w:rPr>
          <w:bCs/>
          <w:lang w:val="es-ES"/>
        </w:rPr>
      </w:pPr>
      <w:r w:rsidRPr="000A2EB9">
        <w:rPr>
          <w:bCs/>
          <w:lang w:val="es-ES"/>
        </w:rPr>
        <w:tab/>
        <w:t>El voto conjunto de la minoría</w:t>
      </w:r>
      <w:r w:rsidR="002A2D77" w:rsidRPr="000A2EB9">
        <w:rPr>
          <w:bCs/>
          <w:lang w:val="es-ES"/>
        </w:rPr>
        <w:t>, por su lado, remitió a lo dicho en la causa “P</w:t>
      </w:r>
      <w:r w:rsidR="00F13AD4" w:rsidRPr="000A2EB9">
        <w:rPr>
          <w:bCs/>
          <w:lang w:val="es-ES"/>
        </w:rPr>
        <w:t>ér</w:t>
      </w:r>
      <w:r w:rsidR="002A2D77" w:rsidRPr="000A2EB9">
        <w:rPr>
          <w:bCs/>
          <w:lang w:val="es-ES"/>
        </w:rPr>
        <w:t>ez” en relación con los vales de comida, postulando la inconstitucionalidad del art. 103</w:t>
      </w:r>
      <w:r w:rsidR="00F13AD4" w:rsidRPr="000A2EB9">
        <w:rPr>
          <w:bCs/>
          <w:lang w:val="es-ES"/>
        </w:rPr>
        <w:t xml:space="preserve"> </w:t>
      </w:r>
      <w:r w:rsidR="002A2D77" w:rsidRPr="000A2EB9">
        <w:rPr>
          <w:bCs/>
          <w:lang w:val="es-ES"/>
        </w:rPr>
        <w:t>bis, inciso c) de la LCT y sostuvo que a idéntica conclusión se arriba respecto de la asignación no remunerativa “</w:t>
      </w:r>
      <w:r w:rsidR="002A2D77" w:rsidRPr="000A2EB9">
        <w:rPr>
          <w:bCs/>
          <w:i/>
          <w:iCs/>
          <w:lang w:val="es-ES"/>
        </w:rPr>
        <w:t>Anticipo Acta Acuerdo Nov. 2005/1</w:t>
      </w:r>
      <w:r w:rsidR="002A2D77" w:rsidRPr="000A2EB9">
        <w:rPr>
          <w:bCs/>
          <w:lang w:val="es-ES"/>
        </w:rPr>
        <w:t>”.</w:t>
      </w:r>
      <w:r w:rsidR="00937D34" w:rsidRPr="000A2EB9">
        <w:rPr>
          <w:bCs/>
          <w:lang w:val="es-ES"/>
        </w:rPr>
        <w:t xml:space="preserve"> </w:t>
      </w:r>
    </w:p>
    <w:p w14:paraId="06FEFACC" w14:textId="696FAD94" w:rsidR="00937D34" w:rsidRPr="000A2EB9" w:rsidRDefault="00937D34" w:rsidP="002A2D77">
      <w:pPr>
        <w:spacing w:line="360" w:lineRule="auto"/>
        <w:jc w:val="both"/>
        <w:rPr>
          <w:bCs/>
          <w:lang w:val="es-ES"/>
        </w:rPr>
      </w:pPr>
      <w:r w:rsidRPr="000A2EB9">
        <w:rPr>
          <w:bCs/>
          <w:lang w:val="es-ES"/>
        </w:rPr>
        <w:lastRenderedPageBreak/>
        <w:tab/>
        <w:t>Más allá de esa concurrencia de fundamentos y soluciones, el voto de los jueces Maqueda y Zaffaroni se detuvo en una cuestión que no atañe al tema aquí expuesto, es decir el concepto de remuneración, sino al Derecho Internacional y que vale la pena reseñar muy sintéticamente.</w:t>
      </w:r>
    </w:p>
    <w:p w14:paraId="7C62F50F" w14:textId="10509816" w:rsidR="00937D34" w:rsidRPr="000A2EB9" w:rsidRDefault="00937D34" w:rsidP="002A2D77">
      <w:pPr>
        <w:spacing w:line="360" w:lineRule="auto"/>
        <w:jc w:val="both"/>
        <w:rPr>
          <w:bCs/>
          <w:lang w:val="es-ES"/>
        </w:rPr>
      </w:pPr>
      <w:r w:rsidRPr="000A2EB9">
        <w:rPr>
          <w:bCs/>
          <w:lang w:val="es-ES"/>
        </w:rPr>
        <w:tab/>
        <w:t xml:space="preserve">La Sala de la CNAT que había desestimado los planteos de inconstitucionalidad formulados por el demandante argumentó, como ya lo había hecho también “González”, que los Convenios internacionales no son operativos en el país sino cuando sus reglas son incorporadas a la legislación nacional. </w:t>
      </w:r>
    </w:p>
    <w:p w14:paraId="7EE73BBC" w14:textId="3A7A427A" w:rsidR="00937D34" w:rsidRPr="000A2EB9" w:rsidRDefault="00937D34" w:rsidP="002A2D77">
      <w:pPr>
        <w:spacing w:line="360" w:lineRule="auto"/>
        <w:jc w:val="both"/>
        <w:rPr>
          <w:bCs/>
          <w:lang w:val="es-ES"/>
        </w:rPr>
      </w:pPr>
      <w:r w:rsidRPr="000A2EB9">
        <w:rPr>
          <w:bCs/>
          <w:lang w:val="es-ES"/>
        </w:rPr>
        <w:tab/>
        <w:t>Pues bien, el voto de los jueces Maqueda y Zaffaroni dio una dura y fundamentada respuesta a dicho Tribunal, recordando que la Corte Suprema ya tenía decidido repetidamente que los instrumentos internacionales, una vez ratificados, se inscriben entre los tratados a los que el art</w:t>
      </w:r>
      <w:r w:rsidR="00F13AD4" w:rsidRPr="000A2EB9">
        <w:rPr>
          <w:bCs/>
          <w:lang w:val="es-ES"/>
        </w:rPr>
        <w:t>.</w:t>
      </w:r>
      <w:r w:rsidRPr="000A2EB9">
        <w:rPr>
          <w:bCs/>
          <w:lang w:val="es-ES"/>
        </w:rPr>
        <w:t xml:space="preserve"> 75 inc. 22, primer párrafo, de la Constitución Nacional, confiere jerarquía superior a las leyes, así como interpretando la Constitución de la OIT (</w:t>
      </w:r>
      <w:r w:rsidRPr="000A2EB9">
        <w:rPr>
          <w:rStyle w:val="Refdenotaalpie"/>
          <w:bCs/>
          <w:lang w:val="es-ES"/>
        </w:rPr>
        <w:footnoteReference w:id="63"/>
      </w:r>
      <w:r w:rsidRPr="000A2EB9">
        <w:rPr>
          <w:bCs/>
          <w:lang w:val="es-ES"/>
        </w:rPr>
        <w:t>).</w:t>
      </w:r>
    </w:p>
    <w:p w14:paraId="18CEE100" w14:textId="5DDCB248" w:rsidR="005C548D" w:rsidRPr="000A2EB9" w:rsidRDefault="009F624A" w:rsidP="00937D34">
      <w:pPr>
        <w:spacing w:line="360" w:lineRule="auto"/>
        <w:ind w:firstLine="720"/>
        <w:jc w:val="both"/>
        <w:rPr>
          <w:bCs/>
          <w:lang w:val="es-ES"/>
        </w:rPr>
      </w:pPr>
      <w:r w:rsidRPr="000A2EB9">
        <w:rPr>
          <w:bCs/>
          <w:lang w:val="es-ES"/>
        </w:rPr>
        <w:t xml:space="preserve">En definitiva, con el voto concurrente de los 5 jueces el Máximo Tribunal de la República Argentina ratificó la inconstitucionalidad del art. 103bis inciso c) de la Ley de Contrato de Trabajo y la cláusula del </w:t>
      </w:r>
      <w:r w:rsidR="00F13AD4" w:rsidRPr="000A2EB9">
        <w:rPr>
          <w:bCs/>
          <w:lang w:val="es-ES"/>
        </w:rPr>
        <w:t>c</w:t>
      </w:r>
      <w:r w:rsidRPr="000A2EB9">
        <w:rPr>
          <w:bCs/>
          <w:lang w:val="es-ES"/>
        </w:rPr>
        <w:t xml:space="preserve">onvenio </w:t>
      </w:r>
      <w:r w:rsidR="00F13AD4" w:rsidRPr="000A2EB9">
        <w:rPr>
          <w:bCs/>
          <w:lang w:val="es-ES"/>
        </w:rPr>
        <w:t>c</w:t>
      </w:r>
      <w:r w:rsidRPr="000A2EB9">
        <w:rPr>
          <w:bCs/>
          <w:lang w:val="es-ES"/>
        </w:rPr>
        <w:t>olectivo que negaba naturaleza salarial a la suma abonada a los trabajadores.</w:t>
      </w:r>
    </w:p>
    <w:p w14:paraId="414D6D73" w14:textId="77777777" w:rsidR="00C177C4" w:rsidRPr="000A2EB9" w:rsidRDefault="00C177C4" w:rsidP="002C7122">
      <w:pPr>
        <w:spacing w:line="360" w:lineRule="auto"/>
        <w:jc w:val="both"/>
        <w:rPr>
          <w:b/>
          <w:lang w:val="es-ES"/>
        </w:rPr>
      </w:pPr>
    </w:p>
    <w:p w14:paraId="2E3A37A9" w14:textId="77777777" w:rsidR="00C177C4" w:rsidRPr="000A2EB9" w:rsidRDefault="002F5665" w:rsidP="002C7122">
      <w:pPr>
        <w:spacing w:line="360" w:lineRule="auto"/>
        <w:jc w:val="both"/>
        <w:rPr>
          <w:b/>
          <w:lang w:val="es-ES"/>
        </w:rPr>
      </w:pPr>
      <w:r w:rsidRPr="000A2EB9">
        <w:rPr>
          <w:b/>
          <w:lang w:val="es-ES"/>
        </w:rPr>
        <w:t xml:space="preserve">D) </w:t>
      </w:r>
      <w:r w:rsidR="007551CA" w:rsidRPr="000A2EB9">
        <w:rPr>
          <w:b/>
          <w:lang w:val="es-ES"/>
        </w:rPr>
        <w:t>3. La</w:t>
      </w:r>
      <w:r w:rsidRPr="000A2EB9">
        <w:rPr>
          <w:b/>
          <w:lang w:val="es-ES"/>
        </w:rPr>
        <w:t xml:space="preserve">s reglas de intangibilidad de los salarios e </w:t>
      </w:r>
      <w:r w:rsidR="007551CA" w:rsidRPr="000A2EB9">
        <w:rPr>
          <w:b/>
          <w:lang w:val="es-ES"/>
        </w:rPr>
        <w:t>irrenunciabilidad</w:t>
      </w:r>
      <w:r w:rsidRPr="000A2EB9">
        <w:rPr>
          <w:b/>
          <w:lang w:val="es-ES"/>
        </w:rPr>
        <w:t xml:space="preserve"> </w:t>
      </w:r>
    </w:p>
    <w:p w14:paraId="06256702" w14:textId="2D2A326D" w:rsidR="00D20641" w:rsidRPr="000A2EB9" w:rsidRDefault="00C177C4" w:rsidP="002C7122">
      <w:pPr>
        <w:spacing w:line="360" w:lineRule="auto"/>
        <w:jc w:val="both"/>
        <w:rPr>
          <w:b/>
          <w:lang w:val="es-ES"/>
        </w:rPr>
      </w:pPr>
      <w:r w:rsidRPr="000A2EB9">
        <w:rPr>
          <w:b/>
          <w:lang w:val="es-ES"/>
        </w:rPr>
        <w:t xml:space="preserve">         </w:t>
      </w:r>
      <w:r w:rsidR="002F5665" w:rsidRPr="000A2EB9">
        <w:rPr>
          <w:b/>
          <w:lang w:val="es-ES"/>
        </w:rPr>
        <w:t>de los créditos laborales.</w:t>
      </w:r>
    </w:p>
    <w:p w14:paraId="4888CD41" w14:textId="25B632F4" w:rsidR="00780501" w:rsidRPr="000A2EB9" w:rsidRDefault="00780501" w:rsidP="00303B6D">
      <w:pPr>
        <w:spacing w:line="360" w:lineRule="auto"/>
        <w:jc w:val="both"/>
        <w:rPr>
          <w:bCs/>
          <w:lang w:val="es-ES"/>
        </w:rPr>
      </w:pPr>
      <w:r w:rsidRPr="000A2EB9">
        <w:rPr>
          <w:bCs/>
          <w:lang w:val="es-ES"/>
        </w:rPr>
        <w:tab/>
        <w:t>Describiré seguidamente, cerrando este racconto de las decisiones de la Corte Suprema argentina sobre grandes temas del Derecho del Trabajo, lo que ha resuelto dicho Tribunal en relación l</w:t>
      </w:r>
      <w:r w:rsidR="00F13AD4" w:rsidRPr="000A2EB9">
        <w:rPr>
          <w:bCs/>
          <w:lang w:val="es-ES"/>
        </w:rPr>
        <w:t xml:space="preserve">as reglas de la intangibilidad del salario y la </w:t>
      </w:r>
      <w:r w:rsidRPr="000A2EB9">
        <w:rPr>
          <w:bCs/>
          <w:lang w:val="es-ES"/>
        </w:rPr>
        <w:t>irrenunciabilidad de los derechos laborales</w:t>
      </w:r>
      <w:r w:rsidR="00F13AD4" w:rsidRPr="000A2EB9">
        <w:rPr>
          <w:bCs/>
          <w:lang w:val="es-ES"/>
        </w:rPr>
        <w:t>, derivadas del principio protectorio.</w:t>
      </w:r>
    </w:p>
    <w:p w14:paraId="1C061620" w14:textId="4BBD5C1F" w:rsidR="00780501" w:rsidRPr="000A2EB9" w:rsidRDefault="00780501" w:rsidP="00780501">
      <w:pPr>
        <w:spacing w:line="360" w:lineRule="auto"/>
        <w:jc w:val="both"/>
        <w:rPr>
          <w:bCs/>
          <w:lang w:val="es-ES"/>
        </w:rPr>
      </w:pPr>
      <w:r w:rsidRPr="000A2EB9">
        <w:rPr>
          <w:bCs/>
          <w:lang w:val="es-ES"/>
        </w:rPr>
        <w:tab/>
        <w:t xml:space="preserve">El 22/05/2012, en los autos </w:t>
      </w:r>
      <w:r w:rsidRPr="000A2EB9">
        <w:rPr>
          <w:b/>
          <w:lang w:val="es-ES"/>
        </w:rPr>
        <w:t>“Iribarne, Rodolfo A. c/ Estado Nacional. Senado de la Nación”</w:t>
      </w:r>
      <w:r w:rsidRPr="000A2EB9">
        <w:rPr>
          <w:bCs/>
          <w:lang w:val="es-ES"/>
        </w:rPr>
        <w:t xml:space="preserve">, </w:t>
      </w:r>
      <w:r w:rsidR="00721580" w:rsidRPr="000A2EB9">
        <w:rPr>
          <w:bCs/>
          <w:lang w:val="es-ES"/>
        </w:rPr>
        <w:t>el Alto Tribunal se expidió en un caso de empleo para el Estado Nacional que, en lo general, podría considerarse regida por la doctrina de la causa “Ramos”, ya descripta en este trabajo.</w:t>
      </w:r>
    </w:p>
    <w:p w14:paraId="209F1E5E" w14:textId="4527B2FB" w:rsidR="00721580" w:rsidRPr="000A2EB9" w:rsidRDefault="00721580" w:rsidP="00780501">
      <w:pPr>
        <w:spacing w:line="360" w:lineRule="auto"/>
        <w:jc w:val="both"/>
        <w:rPr>
          <w:bCs/>
          <w:lang w:val="es-ES"/>
        </w:rPr>
      </w:pPr>
      <w:r w:rsidRPr="000A2EB9">
        <w:rPr>
          <w:bCs/>
          <w:lang w:val="es-ES"/>
        </w:rPr>
        <w:tab/>
        <w:t>Sin embargo, el voto conjunto de los jueces Lorenzetti, Fayt, Highton, Petracchi y Zaffaroni consideró pertinente hacer una declaración relativa al principio protectorio y al valor del silencio de un trabajador, mejor dicho a la falta de valor, que vale la pena destacar, comentándolo.</w:t>
      </w:r>
    </w:p>
    <w:p w14:paraId="1F0A1EC7" w14:textId="6AE605FB" w:rsidR="00721580" w:rsidRPr="000A2EB9" w:rsidRDefault="00721580" w:rsidP="00721580">
      <w:pPr>
        <w:spacing w:line="360" w:lineRule="auto"/>
        <w:jc w:val="both"/>
        <w:rPr>
          <w:bCs/>
          <w:lang w:val="es-ES"/>
        </w:rPr>
      </w:pPr>
      <w:r w:rsidRPr="000A2EB9">
        <w:rPr>
          <w:bCs/>
          <w:lang w:val="es-ES"/>
        </w:rPr>
        <w:tab/>
        <w:t>La Sala II de la Cámara Federal en lo Contencioso Administrativo había revocado la sentencia de grado, negándole al accionante su pretensión de que se declarara nulo el acto de baja que se dictara a su respecto, que se lo reincorporara al cargo y se le indemnizaran los daños y perjuicios.</w:t>
      </w:r>
    </w:p>
    <w:p w14:paraId="319744EA" w14:textId="77777777" w:rsidR="00721580" w:rsidRPr="000A2EB9" w:rsidRDefault="00721580" w:rsidP="00721580">
      <w:pPr>
        <w:spacing w:line="360" w:lineRule="auto"/>
        <w:jc w:val="both"/>
        <w:rPr>
          <w:bCs/>
          <w:lang w:val="es-ES"/>
        </w:rPr>
      </w:pPr>
      <w:r w:rsidRPr="000A2EB9">
        <w:rPr>
          <w:bCs/>
          <w:lang w:val="es-ES"/>
        </w:rPr>
        <w:lastRenderedPageBreak/>
        <w:tab/>
        <w:t>La Corte Suprema dejó sin efecto lo decidido por la Cámara, argumentando que el razonamiento que sustenta la sentencia se aparta de las reglas de la sana critica de tal modo que consagre una soluci6n manifiestamente contraria a las reglas de la 1ógica y la experiencia, esto es, del correcto entendimiento judicial.</w:t>
      </w:r>
    </w:p>
    <w:p w14:paraId="15804BEC" w14:textId="6E2BC30A" w:rsidR="00721580" w:rsidRPr="000A2EB9" w:rsidRDefault="00721580" w:rsidP="00721580">
      <w:pPr>
        <w:spacing w:line="360" w:lineRule="auto"/>
        <w:jc w:val="both"/>
        <w:rPr>
          <w:bCs/>
          <w:lang w:val="es-ES"/>
        </w:rPr>
      </w:pPr>
      <w:r w:rsidRPr="000A2EB9">
        <w:rPr>
          <w:bCs/>
          <w:lang w:val="es-ES"/>
        </w:rPr>
        <w:tab/>
        <w:t>En cuanto al fondo del asunto y lo que aquí interesa, sostuvo el Máximo Tribunal que, si el demandante fue designado Director del Instituto Federal de Estudios Parlamentarios, organismo que formaba parte de la estructura org</w:t>
      </w:r>
      <w:r w:rsidR="00E6547E" w:rsidRPr="000A2EB9">
        <w:rPr>
          <w:bCs/>
          <w:lang w:val="es-ES"/>
        </w:rPr>
        <w:t>á</w:t>
      </w:r>
      <w:r w:rsidRPr="000A2EB9">
        <w:rPr>
          <w:bCs/>
          <w:lang w:val="es-ES"/>
        </w:rPr>
        <w:t>nica permanente, y su desempeño se extendi</w:t>
      </w:r>
      <w:r w:rsidR="00E6547E" w:rsidRPr="000A2EB9">
        <w:rPr>
          <w:bCs/>
          <w:lang w:val="es-ES"/>
        </w:rPr>
        <w:t>ó</w:t>
      </w:r>
      <w:r w:rsidRPr="000A2EB9">
        <w:rPr>
          <w:bCs/>
          <w:lang w:val="es-ES"/>
        </w:rPr>
        <w:t xml:space="preserve"> por siete años, la presunci6n que correspond</w:t>
      </w:r>
      <w:r w:rsidR="00E6547E" w:rsidRPr="000A2EB9">
        <w:rPr>
          <w:bCs/>
          <w:lang w:val="es-ES"/>
        </w:rPr>
        <w:t>í</w:t>
      </w:r>
      <w:r w:rsidRPr="000A2EB9">
        <w:rPr>
          <w:bCs/>
          <w:lang w:val="es-ES"/>
        </w:rPr>
        <w:t>a extraer -a falta de otros elementos de convicción- era que cumplía tareas concernientes al funcionamiento normal del organismo que dirig</w:t>
      </w:r>
      <w:r w:rsidR="00E6547E" w:rsidRPr="000A2EB9">
        <w:rPr>
          <w:bCs/>
          <w:lang w:val="es-ES"/>
        </w:rPr>
        <w:t>í</w:t>
      </w:r>
      <w:r w:rsidRPr="000A2EB9">
        <w:rPr>
          <w:bCs/>
          <w:lang w:val="es-ES"/>
        </w:rPr>
        <w:t xml:space="preserve">a, esto es, tareas de tipo permanente; añadiendo que tales circunstancias fueron aptas prima facie para generar en el actor una legitima expectativa de permanencia laboral que merece la protecci6n que el art. 14 bis de la Constituci6n Nacional otorga al trabajador contra el "despido arbitrario", como se dijera en la causa "Ramos, </w:t>
      </w:r>
      <w:r w:rsidR="002153FC" w:rsidRPr="000A2EB9">
        <w:rPr>
          <w:bCs/>
          <w:lang w:val="es-ES"/>
        </w:rPr>
        <w:t>José</w:t>
      </w:r>
      <w:r w:rsidRPr="000A2EB9">
        <w:rPr>
          <w:bCs/>
          <w:lang w:val="es-ES"/>
        </w:rPr>
        <w:t xml:space="preserve"> Luis el Estado Naciona</w:t>
      </w:r>
      <w:r w:rsidR="00E6547E" w:rsidRPr="000A2EB9">
        <w:rPr>
          <w:bCs/>
          <w:lang w:val="es-ES"/>
        </w:rPr>
        <w:t xml:space="preserve">l”. </w:t>
      </w:r>
    </w:p>
    <w:p w14:paraId="1BE4E4AA" w14:textId="1FAB43EC" w:rsidR="00721580" w:rsidRPr="000A2EB9" w:rsidRDefault="00721580" w:rsidP="00721580">
      <w:pPr>
        <w:spacing w:line="360" w:lineRule="auto"/>
        <w:jc w:val="both"/>
        <w:rPr>
          <w:bCs/>
          <w:lang w:val="es-ES"/>
        </w:rPr>
      </w:pPr>
      <w:r w:rsidRPr="000A2EB9">
        <w:rPr>
          <w:bCs/>
          <w:lang w:val="es-ES"/>
        </w:rPr>
        <w:tab/>
        <w:t>Y seguidamente el Alto Tribunal añadió que no es admisib1e el argumento según el cual el vo1untario sometimiento, sin reservas expresas, a un r</w:t>
      </w:r>
      <w:r w:rsidR="002153FC" w:rsidRPr="000A2EB9">
        <w:rPr>
          <w:bCs/>
          <w:lang w:val="es-ES"/>
        </w:rPr>
        <w:t>é</w:t>
      </w:r>
      <w:r w:rsidRPr="000A2EB9">
        <w:rPr>
          <w:bCs/>
          <w:lang w:val="es-ES"/>
        </w:rPr>
        <w:t>gimen comporta un inequ</w:t>
      </w:r>
      <w:r w:rsidR="002153FC" w:rsidRPr="000A2EB9">
        <w:rPr>
          <w:bCs/>
          <w:lang w:val="es-ES"/>
        </w:rPr>
        <w:t>í</w:t>
      </w:r>
      <w:r w:rsidRPr="000A2EB9">
        <w:rPr>
          <w:bCs/>
          <w:lang w:val="es-ES"/>
        </w:rPr>
        <w:t>voco acatamiento que conlleva a la improcedencia de su impugnaci6n u1terior</w:t>
      </w:r>
      <w:r w:rsidR="002153FC" w:rsidRPr="000A2EB9">
        <w:rPr>
          <w:bCs/>
          <w:lang w:val="es-ES"/>
        </w:rPr>
        <w:t xml:space="preserve">; y para más claridad sostuvo que esto es así </w:t>
      </w:r>
      <w:r w:rsidRPr="000A2EB9">
        <w:rPr>
          <w:bCs/>
          <w:lang w:val="es-ES"/>
        </w:rPr>
        <w:t>pues</w:t>
      </w:r>
      <w:r w:rsidR="002153FC" w:rsidRPr="000A2EB9">
        <w:rPr>
          <w:bCs/>
          <w:lang w:val="es-ES"/>
        </w:rPr>
        <w:t>,</w:t>
      </w:r>
      <w:r w:rsidRPr="000A2EB9">
        <w:rPr>
          <w:bCs/>
          <w:lang w:val="es-ES"/>
        </w:rPr>
        <w:t xml:space="preserve"> </w:t>
      </w:r>
      <w:r w:rsidRPr="000A2EB9">
        <w:rPr>
          <w:bCs/>
          <w:i/>
          <w:iCs/>
          <w:lang w:val="es-ES"/>
        </w:rPr>
        <w:t>una</w:t>
      </w:r>
      <w:r w:rsidR="002153FC" w:rsidRPr="000A2EB9">
        <w:rPr>
          <w:bCs/>
          <w:i/>
          <w:iCs/>
          <w:lang w:val="es-ES"/>
        </w:rPr>
        <w:t xml:space="preserve"> </w:t>
      </w:r>
      <w:r w:rsidRPr="000A2EB9">
        <w:rPr>
          <w:bCs/>
          <w:i/>
          <w:iCs/>
          <w:lang w:val="es-ES"/>
        </w:rPr>
        <w:t>vez establecido que la disputa interesa al trabajo del art. 14</w:t>
      </w:r>
      <w:r w:rsidR="002153FC" w:rsidRPr="000A2EB9">
        <w:rPr>
          <w:bCs/>
          <w:i/>
          <w:iCs/>
          <w:lang w:val="es-ES"/>
        </w:rPr>
        <w:t xml:space="preserve"> </w:t>
      </w:r>
      <w:r w:rsidRPr="000A2EB9">
        <w:rPr>
          <w:bCs/>
          <w:i/>
          <w:iCs/>
          <w:lang w:val="es-ES"/>
        </w:rPr>
        <w:t>bis citado, el principio prote</w:t>
      </w:r>
      <w:r w:rsidR="002153FC" w:rsidRPr="000A2EB9">
        <w:rPr>
          <w:bCs/>
          <w:i/>
          <w:iCs/>
          <w:lang w:val="es-ES"/>
        </w:rPr>
        <w:t>c</w:t>
      </w:r>
      <w:r w:rsidRPr="000A2EB9">
        <w:rPr>
          <w:bCs/>
          <w:i/>
          <w:iCs/>
          <w:lang w:val="es-ES"/>
        </w:rPr>
        <w:t>torio que este enuncia y el</w:t>
      </w:r>
      <w:r w:rsidR="002153FC" w:rsidRPr="000A2EB9">
        <w:rPr>
          <w:bCs/>
          <w:i/>
          <w:iCs/>
          <w:lang w:val="es-ES"/>
        </w:rPr>
        <w:t xml:space="preserve"> c</w:t>
      </w:r>
      <w:r w:rsidRPr="000A2EB9">
        <w:rPr>
          <w:bCs/>
          <w:i/>
          <w:iCs/>
          <w:lang w:val="es-ES"/>
        </w:rPr>
        <w:t>ar</w:t>
      </w:r>
      <w:r w:rsidR="002153FC" w:rsidRPr="000A2EB9">
        <w:rPr>
          <w:bCs/>
          <w:i/>
          <w:iCs/>
          <w:lang w:val="es-ES"/>
        </w:rPr>
        <w:t>áct</w:t>
      </w:r>
      <w:r w:rsidRPr="000A2EB9">
        <w:rPr>
          <w:bCs/>
          <w:i/>
          <w:iCs/>
          <w:lang w:val="es-ES"/>
        </w:rPr>
        <w:t>er invio</w:t>
      </w:r>
      <w:r w:rsidR="00F13AD4" w:rsidRPr="000A2EB9">
        <w:rPr>
          <w:bCs/>
          <w:i/>
          <w:iCs/>
          <w:lang w:val="es-ES"/>
        </w:rPr>
        <w:t>l</w:t>
      </w:r>
      <w:r w:rsidRPr="000A2EB9">
        <w:rPr>
          <w:bCs/>
          <w:i/>
          <w:iCs/>
          <w:lang w:val="es-ES"/>
        </w:rPr>
        <w:t>ab1e de los dere</w:t>
      </w:r>
      <w:r w:rsidR="002153FC" w:rsidRPr="000A2EB9">
        <w:rPr>
          <w:bCs/>
          <w:i/>
          <w:iCs/>
          <w:lang w:val="es-ES"/>
        </w:rPr>
        <w:t>c</w:t>
      </w:r>
      <w:r w:rsidRPr="000A2EB9">
        <w:rPr>
          <w:bCs/>
          <w:i/>
          <w:iCs/>
          <w:lang w:val="es-ES"/>
        </w:rPr>
        <w:t>hos que reconoce, conducen con</w:t>
      </w:r>
      <w:r w:rsidR="002153FC" w:rsidRPr="000A2EB9">
        <w:rPr>
          <w:bCs/>
          <w:i/>
          <w:iCs/>
          <w:lang w:val="es-ES"/>
        </w:rPr>
        <w:t xml:space="preserve"> </w:t>
      </w:r>
      <w:r w:rsidRPr="000A2EB9">
        <w:rPr>
          <w:bCs/>
          <w:i/>
          <w:iCs/>
          <w:lang w:val="es-ES"/>
        </w:rPr>
        <w:t>necesidad a la indisponibi1idad y a la prohibici6n de renuncia</w:t>
      </w:r>
      <w:r w:rsidR="002153FC" w:rsidRPr="000A2EB9">
        <w:rPr>
          <w:bCs/>
          <w:i/>
          <w:iCs/>
          <w:lang w:val="es-ES"/>
        </w:rPr>
        <w:t xml:space="preserve"> </w:t>
      </w:r>
      <w:r w:rsidRPr="000A2EB9">
        <w:rPr>
          <w:bCs/>
          <w:i/>
          <w:iCs/>
          <w:lang w:val="es-ES"/>
        </w:rPr>
        <w:t>de la aplicaci6n de las normas que tutelan el trabajo "en todas</w:t>
      </w:r>
      <w:r w:rsidR="002153FC" w:rsidRPr="000A2EB9">
        <w:rPr>
          <w:bCs/>
          <w:i/>
          <w:iCs/>
          <w:lang w:val="es-ES"/>
        </w:rPr>
        <w:t xml:space="preserve"> </w:t>
      </w:r>
      <w:r w:rsidRPr="000A2EB9">
        <w:rPr>
          <w:bCs/>
          <w:i/>
          <w:iCs/>
          <w:lang w:val="es-ES"/>
        </w:rPr>
        <w:t xml:space="preserve">sus formas", vale decir, tanto al prestado en el </w:t>
      </w:r>
      <w:r w:rsidR="002153FC" w:rsidRPr="000A2EB9">
        <w:rPr>
          <w:bCs/>
          <w:i/>
          <w:iCs/>
          <w:lang w:val="es-ES"/>
        </w:rPr>
        <w:t>ámbito pú</w:t>
      </w:r>
      <w:r w:rsidRPr="000A2EB9">
        <w:rPr>
          <w:bCs/>
          <w:i/>
          <w:iCs/>
          <w:lang w:val="es-ES"/>
        </w:rPr>
        <w:t>blico</w:t>
      </w:r>
      <w:r w:rsidR="002153FC" w:rsidRPr="000A2EB9">
        <w:rPr>
          <w:bCs/>
          <w:i/>
          <w:iCs/>
          <w:lang w:val="es-ES"/>
        </w:rPr>
        <w:t xml:space="preserve"> </w:t>
      </w:r>
      <w:r w:rsidRPr="000A2EB9">
        <w:rPr>
          <w:bCs/>
          <w:i/>
          <w:iCs/>
          <w:lang w:val="es-ES"/>
        </w:rPr>
        <w:t>como en el privado</w:t>
      </w:r>
      <w:r w:rsidR="00E6547E" w:rsidRPr="000A2EB9">
        <w:rPr>
          <w:bCs/>
          <w:lang w:val="es-ES"/>
        </w:rPr>
        <w:t xml:space="preserve">, retomando una doctrina que la Corte, con otra integración, había sentado </w:t>
      </w:r>
      <w:r w:rsidR="00F13AD4" w:rsidRPr="000A2EB9">
        <w:rPr>
          <w:bCs/>
          <w:lang w:val="es-ES"/>
        </w:rPr>
        <w:t>mucho tiempo antes</w:t>
      </w:r>
      <w:r w:rsidR="00E6547E" w:rsidRPr="000A2EB9">
        <w:rPr>
          <w:bCs/>
          <w:lang w:val="es-ES"/>
        </w:rPr>
        <w:t xml:space="preserve"> en la causa “Salduna de Tolomei, María Eugenia c/ Municipalidad de la Ciudad de Buenos Aires", sentencia del 12/11/1998, y sobre la cual luego volveré. </w:t>
      </w:r>
    </w:p>
    <w:p w14:paraId="1A57FEBA" w14:textId="136E1A58" w:rsidR="002153FC" w:rsidRPr="000A2EB9" w:rsidRDefault="002153FC" w:rsidP="00721580">
      <w:pPr>
        <w:spacing w:line="360" w:lineRule="auto"/>
        <w:jc w:val="both"/>
        <w:rPr>
          <w:bCs/>
          <w:lang w:val="es-ES"/>
        </w:rPr>
      </w:pPr>
      <w:r w:rsidRPr="000A2EB9">
        <w:rPr>
          <w:bCs/>
          <w:lang w:val="es-ES"/>
        </w:rPr>
        <w:tab/>
        <w:t>Esta declaratoria posee, a mi juicio, un doble valor como doctrina judicial. La primera es la clara regla de que el silencio del trabajador o su acatamiento prolongado aun sin reservas de un régimen jurídico no son idóneos para validar la renuncia a derechos de raigambre laboral</w:t>
      </w:r>
      <w:r w:rsidR="000B58BD" w:rsidRPr="000A2EB9">
        <w:rPr>
          <w:bCs/>
          <w:lang w:val="es-ES"/>
        </w:rPr>
        <w:t>, irrenunciabilidad garantizada férreamente por el art. 12 de la LCT.</w:t>
      </w:r>
    </w:p>
    <w:p w14:paraId="00BBF8F0" w14:textId="52BB8894" w:rsidR="002153FC" w:rsidRPr="000A2EB9" w:rsidRDefault="002153FC" w:rsidP="00721580">
      <w:pPr>
        <w:spacing w:line="360" w:lineRule="auto"/>
        <w:jc w:val="both"/>
        <w:rPr>
          <w:bCs/>
          <w:lang w:val="es-ES"/>
        </w:rPr>
      </w:pPr>
      <w:r w:rsidRPr="000A2EB9">
        <w:rPr>
          <w:bCs/>
          <w:lang w:val="es-ES"/>
        </w:rPr>
        <w:tab/>
        <w:t>El segundo dato es la certera afirmación del Máximo Tribunal de que al empleo público le son aplicables las reglas del Derecho del Trabajo, en particular el principio protectorio, ya que en la República Argentina durante mucho tiempo y hasta hace apenas unos 25 años predominaba la tesis de que el contrato de empleo público pertenecía al ámbito del Derecho Administrativo</w:t>
      </w:r>
      <w:r w:rsidR="000B58BD" w:rsidRPr="000A2EB9">
        <w:rPr>
          <w:bCs/>
          <w:lang w:val="es-ES"/>
        </w:rPr>
        <w:t>, tal como lo dejé señalado páginas atrás.</w:t>
      </w:r>
    </w:p>
    <w:p w14:paraId="3F10CAFD" w14:textId="77777777" w:rsidR="002153FC" w:rsidRPr="000A2EB9" w:rsidRDefault="002153FC" w:rsidP="00780501">
      <w:pPr>
        <w:spacing w:line="360" w:lineRule="auto"/>
        <w:jc w:val="both"/>
        <w:rPr>
          <w:bCs/>
          <w:lang w:val="es-ES"/>
        </w:rPr>
      </w:pPr>
      <w:r w:rsidRPr="000A2EB9">
        <w:rPr>
          <w:bCs/>
          <w:lang w:val="es-ES"/>
        </w:rPr>
        <w:tab/>
        <w:t xml:space="preserve">En similar sentido volvió a expedirse la Corte Federal muy poco después, más precisamente el 10/07/2012, en la causa </w:t>
      </w:r>
      <w:r w:rsidRPr="000A2EB9">
        <w:rPr>
          <w:b/>
          <w:lang w:val="es-ES"/>
        </w:rPr>
        <w:t>“</w:t>
      </w:r>
      <w:r w:rsidR="00780501" w:rsidRPr="000A2EB9">
        <w:rPr>
          <w:b/>
          <w:lang w:val="es-ES"/>
        </w:rPr>
        <w:t>Ambrogio, José N. R. y otros c/ Estado de la Provincia de Corrientes”</w:t>
      </w:r>
      <w:r w:rsidRPr="000A2EB9">
        <w:rPr>
          <w:bCs/>
          <w:lang w:val="es-ES"/>
        </w:rPr>
        <w:t>.</w:t>
      </w:r>
    </w:p>
    <w:p w14:paraId="2552E31F" w14:textId="481E0075" w:rsidR="002153FC" w:rsidRPr="000A2EB9" w:rsidRDefault="002153FC" w:rsidP="007F11EB">
      <w:pPr>
        <w:spacing w:line="360" w:lineRule="auto"/>
        <w:jc w:val="both"/>
        <w:rPr>
          <w:bCs/>
          <w:lang w:val="es-ES"/>
        </w:rPr>
      </w:pPr>
      <w:r w:rsidRPr="000A2EB9">
        <w:rPr>
          <w:bCs/>
          <w:lang w:val="es-ES"/>
        </w:rPr>
        <w:tab/>
        <w:t xml:space="preserve">En este expediente, el Superior Tribunal de la Provincia de Corrientes hizo lugar parcialmente a la demanda pero rechazó la solicitud de reincorporación de un </w:t>
      </w:r>
      <w:r w:rsidRPr="000A2EB9">
        <w:rPr>
          <w:bCs/>
          <w:lang w:val="es-ES"/>
        </w:rPr>
        <w:lastRenderedPageBreak/>
        <w:t>grupo de agentes</w:t>
      </w:r>
      <w:r w:rsidR="007F11EB" w:rsidRPr="000A2EB9">
        <w:rPr>
          <w:bCs/>
          <w:lang w:val="es-ES"/>
        </w:rPr>
        <w:t xml:space="preserve"> </w:t>
      </w:r>
      <w:r w:rsidRPr="000A2EB9">
        <w:rPr>
          <w:bCs/>
          <w:lang w:val="es-ES"/>
        </w:rPr>
        <w:t>que hab</w:t>
      </w:r>
      <w:r w:rsidR="000B58BD" w:rsidRPr="000A2EB9">
        <w:rPr>
          <w:bCs/>
          <w:lang w:val="es-ES"/>
        </w:rPr>
        <w:t>í</w:t>
      </w:r>
      <w:r w:rsidRPr="000A2EB9">
        <w:rPr>
          <w:bCs/>
          <w:lang w:val="es-ES"/>
        </w:rPr>
        <w:t>an sido contratados en el año 1979 para prestar servicios en la Comisión Conjunta de Lucha contra la Garrapata y Sarna</w:t>
      </w:r>
      <w:r w:rsidR="007F11EB" w:rsidRPr="000A2EB9">
        <w:rPr>
          <w:bCs/>
          <w:lang w:val="es-ES"/>
        </w:rPr>
        <w:t xml:space="preserve"> con el argumento de que existió un sometimiento voluntario sin reservas a un régimen jurídico que no cuestionaron en el extenso lapso de prestación.</w:t>
      </w:r>
    </w:p>
    <w:p w14:paraId="3C5F771C" w14:textId="5BEA0697" w:rsidR="007F11EB" w:rsidRPr="000A2EB9" w:rsidRDefault="007F11EB" w:rsidP="007F11EB">
      <w:pPr>
        <w:spacing w:line="360" w:lineRule="auto"/>
        <w:jc w:val="both"/>
        <w:rPr>
          <w:bCs/>
          <w:lang w:val="es-ES"/>
        </w:rPr>
      </w:pPr>
      <w:r w:rsidRPr="000A2EB9">
        <w:rPr>
          <w:bCs/>
          <w:lang w:val="es-ES"/>
        </w:rPr>
        <w:tab/>
        <w:t>El voto de la mayoría, conformado por los jueces Lorenzetti, Petracchi, Fayt, Zaffaroni y Maqueda, reprochó a esa decisión  no haber dado una adecuada respuesta a los planteos referentes a la aplicaci</w:t>
      </w:r>
      <w:r w:rsidR="000B58BD" w:rsidRPr="000A2EB9">
        <w:rPr>
          <w:bCs/>
          <w:lang w:val="es-ES"/>
        </w:rPr>
        <w:t>ó</w:t>
      </w:r>
      <w:r w:rsidRPr="000A2EB9">
        <w:rPr>
          <w:bCs/>
          <w:lang w:val="es-ES"/>
        </w:rPr>
        <w:t xml:space="preserve">n del decreto </w:t>
      </w:r>
      <w:r w:rsidR="000B58BD" w:rsidRPr="000A2EB9">
        <w:rPr>
          <w:bCs/>
          <w:lang w:val="es-ES"/>
        </w:rPr>
        <w:t>respectivo</w:t>
      </w:r>
      <w:r w:rsidRPr="000A2EB9">
        <w:rPr>
          <w:bCs/>
          <w:lang w:val="es-ES"/>
        </w:rPr>
        <w:t>, ya que ninguno de los fundamentos de la sentencia apelada resulta</w:t>
      </w:r>
      <w:r w:rsidR="000B58BD" w:rsidRPr="000A2EB9">
        <w:rPr>
          <w:bCs/>
          <w:lang w:val="es-ES"/>
        </w:rPr>
        <w:t>ba</w:t>
      </w:r>
      <w:r w:rsidRPr="000A2EB9">
        <w:rPr>
          <w:bCs/>
          <w:lang w:val="es-ES"/>
        </w:rPr>
        <w:t xml:space="preserve"> v</w:t>
      </w:r>
      <w:r w:rsidR="000B58BD" w:rsidRPr="000A2EB9">
        <w:rPr>
          <w:bCs/>
          <w:lang w:val="es-ES"/>
        </w:rPr>
        <w:t>á</w:t>
      </w:r>
      <w:r w:rsidRPr="000A2EB9">
        <w:rPr>
          <w:bCs/>
          <w:lang w:val="es-ES"/>
        </w:rPr>
        <w:t>lido para justificar el incumplimiento de un acto administrativo no revocado, que había dispuesto incluir a los actores en planta permanente.</w:t>
      </w:r>
      <w:r w:rsidR="00F3621B" w:rsidRPr="000A2EB9">
        <w:rPr>
          <w:bCs/>
          <w:lang w:val="es-ES"/>
        </w:rPr>
        <w:t xml:space="preserve"> </w:t>
      </w:r>
    </w:p>
    <w:p w14:paraId="308B7828" w14:textId="0A6D36C5" w:rsidR="00780501" w:rsidRPr="000A2EB9" w:rsidRDefault="007F11EB" w:rsidP="007F11EB">
      <w:pPr>
        <w:spacing w:line="360" w:lineRule="auto"/>
        <w:jc w:val="both"/>
        <w:rPr>
          <w:bCs/>
          <w:lang w:val="es-ES"/>
        </w:rPr>
      </w:pPr>
      <w:r w:rsidRPr="000A2EB9">
        <w:rPr>
          <w:bCs/>
          <w:lang w:val="es-ES"/>
        </w:rPr>
        <w:tab/>
        <w:t>Sin embargo, en lo que resulta relevante para este acápite del presente análisis, el bloque de la mayoría repitió lo declarado en “Iribarne”, en el sentido de que no obsta al reclamo la falta de reserva o protesta ya que, una vez establecido que la disputa interesa al trabajo del art. 14 bis de la Constituci6n Nacional, el principio protectorio que este enuncia y el carácter inviolable de los derechos que reconoce, conducen con necesidad a la indisponibilidad y a la prohibici6n de renuncia de la aplicación de las normas que tutelan el trabajo "en todas sus formas", vale decir, tanto al prestado en el ámbito público como en el privado.</w:t>
      </w:r>
    </w:p>
    <w:p w14:paraId="1ADAC7FC" w14:textId="1BDB09ED" w:rsidR="00581283" w:rsidRPr="000A2EB9" w:rsidRDefault="00F3621B" w:rsidP="007F11EB">
      <w:pPr>
        <w:spacing w:line="360" w:lineRule="auto"/>
        <w:jc w:val="both"/>
        <w:rPr>
          <w:bCs/>
          <w:lang w:val="es-ES"/>
        </w:rPr>
      </w:pPr>
      <w:r w:rsidRPr="000A2EB9">
        <w:rPr>
          <w:bCs/>
          <w:lang w:val="es-ES"/>
        </w:rPr>
        <w:tab/>
        <w:t>Resta decir que la jueza Highton, por su parte, votó en disidencia invocando el art. 280 del Código Procesal para desestimar el recurso.</w:t>
      </w:r>
    </w:p>
    <w:p w14:paraId="4CE33383" w14:textId="38860DC0" w:rsidR="006103E9" w:rsidRPr="000A2EB9" w:rsidRDefault="007F11EB" w:rsidP="006103E9">
      <w:pPr>
        <w:spacing w:line="360" w:lineRule="auto"/>
        <w:jc w:val="both"/>
        <w:rPr>
          <w:bCs/>
          <w:lang w:val="es-ES"/>
        </w:rPr>
      </w:pPr>
      <w:r w:rsidRPr="000A2EB9">
        <w:rPr>
          <w:bCs/>
          <w:lang w:val="es-ES"/>
        </w:rPr>
        <w:tab/>
        <w:t>Y</w:t>
      </w:r>
      <w:r w:rsidR="000B58BD" w:rsidRPr="000A2EB9">
        <w:rPr>
          <w:bCs/>
          <w:lang w:val="es-ES"/>
        </w:rPr>
        <w:t xml:space="preserve">, </w:t>
      </w:r>
      <w:r w:rsidRPr="000A2EB9">
        <w:rPr>
          <w:bCs/>
          <w:lang w:val="es-ES"/>
        </w:rPr>
        <w:t xml:space="preserve">antes de terminar el año 2012, esa línea fue ratificada nuevamente en la causa </w:t>
      </w:r>
      <w:r w:rsidRPr="000A2EB9">
        <w:rPr>
          <w:b/>
          <w:lang w:val="es-ES"/>
        </w:rPr>
        <w:t>“</w:t>
      </w:r>
      <w:r w:rsidR="00780501" w:rsidRPr="000A2EB9">
        <w:rPr>
          <w:b/>
          <w:lang w:val="es-ES"/>
        </w:rPr>
        <w:t>Fleitas, Daniel Aníbal c/ Estado Nacional-Ministerio de Economía y Obras y Servicios Públicos”</w:t>
      </w:r>
      <w:r w:rsidR="00780501" w:rsidRPr="000A2EB9">
        <w:rPr>
          <w:bCs/>
          <w:lang w:val="es-ES"/>
        </w:rPr>
        <w:t>, del 13/11/2012</w:t>
      </w:r>
      <w:r w:rsidRPr="000A2EB9">
        <w:rPr>
          <w:bCs/>
          <w:lang w:val="es-ES"/>
        </w:rPr>
        <w:t xml:space="preserve">, </w:t>
      </w:r>
      <w:r w:rsidR="006103E9" w:rsidRPr="000A2EB9">
        <w:rPr>
          <w:bCs/>
          <w:lang w:val="es-ES"/>
        </w:rPr>
        <w:t xml:space="preserve">causa en la que la Sala IV de la Cámara Federal en lo Contencioso Administrativo Federal confirmara la sentencia de grado que </w:t>
      </w:r>
      <w:r w:rsidR="000B58BD" w:rsidRPr="000A2EB9">
        <w:rPr>
          <w:bCs/>
          <w:lang w:val="es-ES"/>
        </w:rPr>
        <w:t xml:space="preserve">había </w:t>
      </w:r>
      <w:r w:rsidR="006103E9" w:rsidRPr="000A2EB9">
        <w:rPr>
          <w:bCs/>
          <w:lang w:val="es-ES"/>
        </w:rPr>
        <w:t>rechaza</w:t>
      </w:r>
      <w:r w:rsidR="000B58BD" w:rsidRPr="000A2EB9">
        <w:rPr>
          <w:bCs/>
          <w:lang w:val="es-ES"/>
        </w:rPr>
        <w:t>do</w:t>
      </w:r>
      <w:r w:rsidR="006103E9" w:rsidRPr="000A2EB9">
        <w:rPr>
          <w:bCs/>
          <w:lang w:val="es-ES"/>
        </w:rPr>
        <w:t xml:space="preserve"> </w:t>
      </w:r>
      <w:r w:rsidR="000B58BD" w:rsidRPr="000A2EB9">
        <w:rPr>
          <w:bCs/>
          <w:lang w:val="es-ES"/>
        </w:rPr>
        <w:t xml:space="preserve">con apoyo en la teoría de los actos propios </w:t>
      </w:r>
      <w:r w:rsidR="006103E9" w:rsidRPr="000A2EB9">
        <w:rPr>
          <w:bCs/>
          <w:lang w:val="es-ES"/>
        </w:rPr>
        <w:t>la demanda de varios ex empleados públicos que reclamaron una diferencia salarial con motivo de su pase al Fondo de Reconversión Laboral</w:t>
      </w:r>
      <w:r w:rsidR="000B58BD" w:rsidRPr="000A2EB9">
        <w:rPr>
          <w:bCs/>
          <w:lang w:val="es-ES"/>
        </w:rPr>
        <w:t>.</w:t>
      </w:r>
    </w:p>
    <w:p w14:paraId="6FB4E1F8" w14:textId="42ED2EBC" w:rsidR="00F3621B" w:rsidRPr="000A2EB9" w:rsidRDefault="006103E9" w:rsidP="00780501">
      <w:pPr>
        <w:spacing w:line="360" w:lineRule="auto"/>
        <w:jc w:val="both"/>
        <w:rPr>
          <w:bCs/>
          <w:lang w:val="es-ES"/>
        </w:rPr>
      </w:pPr>
      <w:r w:rsidRPr="000A2EB9">
        <w:rPr>
          <w:bCs/>
          <w:lang w:val="es-ES"/>
        </w:rPr>
        <w:tab/>
        <w:t xml:space="preserve">La Corte Suprema, en </w:t>
      </w:r>
      <w:r w:rsidR="00F3621B" w:rsidRPr="000A2EB9">
        <w:rPr>
          <w:bCs/>
          <w:lang w:val="es-ES"/>
        </w:rPr>
        <w:t>voto conjunto de los mismos magistrados que habían formado mayoría en “Ambrogio”, es decir los jueces Lorenzetti, Fayt, Petracchi, Maqueda y Zaffaroni</w:t>
      </w:r>
      <w:r w:rsidRPr="000A2EB9">
        <w:rPr>
          <w:bCs/>
          <w:lang w:val="es-ES"/>
        </w:rPr>
        <w:t xml:space="preserve">, hizo suyos los términos del </w:t>
      </w:r>
      <w:r w:rsidR="00F3621B" w:rsidRPr="000A2EB9">
        <w:rPr>
          <w:bCs/>
          <w:lang w:val="es-ES"/>
        </w:rPr>
        <w:t>Dictamen Fiscal emitido por la Procuradora Fiscal Laura Mont</w:t>
      </w:r>
      <w:r w:rsidRPr="000A2EB9">
        <w:rPr>
          <w:bCs/>
          <w:lang w:val="es-ES"/>
        </w:rPr>
        <w:t>i, quien recomendó dejar sin efecto tal decisión al tildarla de arbitraria.</w:t>
      </w:r>
    </w:p>
    <w:p w14:paraId="2C215A51" w14:textId="20DDC2E4" w:rsidR="006103E9" w:rsidRPr="000A2EB9" w:rsidRDefault="006103E9" w:rsidP="006103E9">
      <w:pPr>
        <w:spacing w:line="360" w:lineRule="auto"/>
        <w:jc w:val="both"/>
        <w:rPr>
          <w:bCs/>
          <w:lang w:val="es-ES"/>
        </w:rPr>
      </w:pPr>
      <w:r w:rsidRPr="000A2EB9">
        <w:rPr>
          <w:bCs/>
          <w:lang w:val="es-ES"/>
        </w:rPr>
        <w:tab/>
        <w:t xml:space="preserve">Para ello, la Procuradora Fiscal afirmó que no puede aplicarse la teoría de los actos propios para dar respuesta negativa a la demanda ya que lo que impugnan los demandantes no es el régimen jurídico al que se someten sino su cumplimiento en punto a los rubros indemnizatorios y pago de premio estímulo por aceptar la opción de retiro anticipado del Fondo de· Reconversión Laboral. </w:t>
      </w:r>
    </w:p>
    <w:p w14:paraId="23F30824" w14:textId="6A4B4ED0" w:rsidR="00780501" w:rsidRPr="000A2EB9" w:rsidRDefault="006103E9" w:rsidP="00E6547E">
      <w:pPr>
        <w:spacing w:line="360" w:lineRule="auto"/>
        <w:ind w:firstLine="720"/>
        <w:jc w:val="both"/>
        <w:rPr>
          <w:bCs/>
          <w:lang w:val="es-ES"/>
        </w:rPr>
      </w:pPr>
      <w:r w:rsidRPr="000A2EB9">
        <w:rPr>
          <w:bCs/>
          <w:lang w:val="es-ES"/>
        </w:rPr>
        <w:t>Sin embargo,</w:t>
      </w:r>
      <w:r w:rsidR="000B58BD" w:rsidRPr="000A2EB9">
        <w:rPr>
          <w:bCs/>
          <w:lang w:val="es-ES"/>
        </w:rPr>
        <w:t xml:space="preserve"> </w:t>
      </w:r>
      <w:r w:rsidRPr="000A2EB9">
        <w:rPr>
          <w:bCs/>
          <w:lang w:val="es-ES"/>
        </w:rPr>
        <w:t xml:space="preserve">la Dra. Monti </w:t>
      </w:r>
      <w:r w:rsidR="000B58BD" w:rsidRPr="000A2EB9">
        <w:rPr>
          <w:bCs/>
          <w:lang w:val="es-ES"/>
        </w:rPr>
        <w:t xml:space="preserve">igualmente </w:t>
      </w:r>
      <w:r w:rsidR="00E6547E" w:rsidRPr="000A2EB9">
        <w:rPr>
          <w:bCs/>
          <w:lang w:val="es-ES"/>
        </w:rPr>
        <w:t>invoc</w:t>
      </w:r>
      <w:r w:rsidR="000B58BD" w:rsidRPr="000A2EB9">
        <w:rPr>
          <w:bCs/>
          <w:lang w:val="es-ES"/>
        </w:rPr>
        <w:t>ó</w:t>
      </w:r>
      <w:r w:rsidR="00E6547E" w:rsidRPr="000A2EB9">
        <w:rPr>
          <w:bCs/>
          <w:lang w:val="es-ES"/>
        </w:rPr>
        <w:t xml:space="preserve"> el precedente “Salduna de Tolomei, María Eugenia c/ Municipalidad de la Ciudad de Buenos Aires" que he mencionado párrafos atrás, en el sentido de </w:t>
      </w:r>
      <w:r w:rsidR="00644992" w:rsidRPr="000A2EB9">
        <w:rPr>
          <w:bCs/>
          <w:lang w:val="es-ES"/>
        </w:rPr>
        <w:t xml:space="preserve">que el hecho de tratarse de un vínculo de empleo público no altera la naturaleza de la prestación, que siempre será la de retribuir servicios prestados, tanto en ese ámbito como en el del derecho privado y que, en tanto </w:t>
      </w:r>
      <w:r w:rsidR="00644992" w:rsidRPr="000A2EB9">
        <w:rPr>
          <w:bCs/>
          <w:lang w:val="es-ES"/>
        </w:rPr>
        <w:lastRenderedPageBreak/>
        <w:t xml:space="preserve">la indemnización en favor del obrero tiene contenido alimentario, se hace irrelevante la percepción del pago sin reservas, pues </w:t>
      </w:r>
      <w:r w:rsidR="00644992" w:rsidRPr="000A2EB9">
        <w:rPr>
          <w:bCs/>
          <w:i/>
          <w:iCs/>
          <w:lang w:val="es-ES"/>
        </w:rPr>
        <w:t>el pago insuficiente de obligaciones originadas en relaciones laborales debe considerarse como entrega a cuenta del total adeudado, aunque se reciba sin reservas, quedando expedita al trabajador la acción para reclamar la diferencia”</w:t>
      </w:r>
      <w:r w:rsidR="00644992" w:rsidRPr="000A2EB9">
        <w:rPr>
          <w:bCs/>
          <w:lang w:val="es-ES"/>
        </w:rPr>
        <w:t>.</w:t>
      </w:r>
    </w:p>
    <w:p w14:paraId="005A22D8" w14:textId="694634AD" w:rsidR="00E6547E" w:rsidRPr="000A2EB9" w:rsidRDefault="00E6547E" w:rsidP="00E6547E">
      <w:pPr>
        <w:spacing w:line="360" w:lineRule="auto"/>
        <w:ind w:firstLine="720"/>
        <w:jc w:val="both"/>
        <w:rPr>
          <w:bCs/>
          <w:lang w:val="es-ES"/>
        </w:rPr>
      </w:pPr>
      <w:r w:rsidRPr="000A2EB9">
        <w:rPr>
          <w:bCs/>
          <w:lang w:val="es-ES"/>
        </w:rPr>
        <w:t>E</w:t>
      </w:r>
      <w:r w:rsidR="00BB7B3B" w:rsidRPr="000A2EB9">
        <w:rPr>
          <w:bCs/>
          <w:lang w:val="es-ES"/>
        </w:rPr>
        <w:t xml:space="preserve">l 18/06/2013 </w:t>
      </w:r>
      <w:r w:rsidRPr="000A2EB9">
        <w:rPr>
          <w:bCs/>
          <w:lang w:val="es-ES"/>
        </w:rPr>
        <w:t xml:space="preserve">el Máximo Tribunal intervino en la causa </w:t>
      </w:r>
      <w:r w:rsidRPr="000A2EB9">
        <w:rPr>
          <w:b/>
          <w:lang w:val="es-ES"/>
        </w:rPr>
        <w:t>“</w:t>
      </w:r>
      <w:r w:rsidR="00780501" w:rsidRPr="000A2EB9">
        <w:rPr>
          <w:b/>
          <w:lang w:val="es-ES"/>
        </w:rPr>
        <w:t>Asociación de Trabajadores del Estado (ATE)</w:t>
      </w:r>
      <w:r w:rsidRPr="000A2EB9">
        <w:rPr>
          <w:bCs/>
          <w:lang w:val="es-ES"/>
        </w:rPr>
        <w:t>” (</w:t>
      </w:r>
      <w:r w:rsidRPr="000A2EB9">
        <w:rPr>
          <w:rStyle w:val="Refdenotaalpie"/>
          <w:bCs/>
          <w:lang w:val="es-ES"/>
        </w:rPr>
        <w:footnoteReference w:id="64"/>
      </w:r>
      <w:r w:rsidRPr="000A2EB9">
        <w:rPr>
          <w:bCs/>
          <w:lang w:val="es-ES"/>
        </w:rPr>
        <w:t>)</w:t>
      </w:r>
      <w:r w:rsidR="00BB7B3B" w:rsidRPr="000A2EB9">
        <w:rPr>
          <w:bCs/>
          <w:lang w:val="es-ES"/>
        </w:rPr>
        <w:t xml:space="preserve"> en el que ATE </w:t>
      </w:r>
      <w:r w:rsidR="000B58BD" w:rsidRPr="000A2EB9">
        <w:rPr>
          <w:bCs/>
          <w:lang w:val="es-ES"/>
        </w:rPr>
        <w:t xml:space="preserve"> y </w:t>
      </w:r>
      <w:r w:rsidR="00BB7B3B" w:rsidRPr="000A2EB9">
        <w:rPr>
          <w:bCs/>
          <w:lang w:val="es-ES"/>
        </w:rPr>
        <w:t xml:space="preserve">un coactor, Sr. Molina, a título personal plantearon la nulidad del decreto </w:t>
      </w:r>
      <w:r w:rsidR="00D4692A" w:rsidRPr="000A2EB9">
        <w:rPr>
          <w:bCs/>
          <w:lang w:val="es-ES"/>
        </w:rPr>
        <w:t xml:space="preserve">5/2003 </w:t>
      </w:r>
      <w:r w:rsidR="00BB7B3B" w:rsidRPr="000A2EB9">
        <w:rPr>
          <w:bCs/>
          <w:lang w:val="es-ES"/>
        </w:rPr>
        <w:t>del Intendente de la Ciudad de Salta que reducía los salarios de los empleados de ese municipio.</w:t>
      </w:r>
    </w:p>
    <w:p w14:paraId="09BE458F" w14:textId="77A0FB81" w:rsidR="00780501" w:rsidRPr="000A2EB9" w:rsidRDefault="00BB7B3B" w:rsidP="00303B6D">
      <w:pPr>
        <w:spacing w:line="360" w:lineRule="auto"/>
        <w:jc w:val="both"/>
        <w:rPr>
          <w:bCs/>
          <w:lang w:val="es-ES"/>
        </w:rPr>
      </w:pPr>
      <w:r w:rsidRPr="000A2EB9">
        <w:rPr>
          <w:bCs/>
          <w:lang w:val="es-ES"/>
        </w:rPr>
        <w:tab/>
      </w:r>
      <w:r w:rsidR="002D339B" w:rsidRPr="000A2EB9">
        <w:rPr>
          <w:bCs/>
          <w:lang w:val="es-ES"/>
        </w:rPr>
        <w:t>El Superior Tribunal</w:t>
      </w:r>
      <w:r w:rsidR="00AA60CC" w:rsidRPr="000A2EB9">
        <w:rPr>
          <w:bCs/>
          <w:lang w:val="es-ES"/>
        </w:rPr>
        <w:t xml:space="preserve"> de Salta</w:t>
      </w:r>
      <w:r w:rsidR="002D339B" w:rsidRPr="000A2EB9">
        <w:rPr>
          <w:bCs/>
          <w:lang w:val="es-ES"/>
        </w:rPr>
        <w:t>, en lo que a este aspecto del pleito respecta, había negado legitimación activa a la entidad sindical para reclamar en nombre de los agentes públicos por no tener en ese ámbito de aplicación personería gremial y, en cuanto al coactor Molina</w:t>
      </w:r>
      <w:r w:rsidR="00AA60CC" w:rsidRPr="000A2EB9">
        <w:rPr>
          <w:bCs/>
          <w:lang w:val="es-ES"/>
        </w:rPr>
        <w:t xml:space="preserve"> </w:t>
      </w:r>
      <w:r w:rsidR="002D339B" w:rsidRPr="000A2EB9">
        <w:rPr>
          <w:bCs/>
          <w:lang w:val="es-ES"/>
        </w:rPr>
        <w:t xml:space="preserve">rechazó su reclamo </w:t>
      </w:r>
      <w:r w:rsidR="00AA60CC" w:rsidRPr="000A2EB9">
        <w:rPr>
          <w:bCs/>
          <w:lang w:val="es-ES"/>
        </w:rPr>
        <w:t>con fundamento en que el decreto municipal cuestionado fue dictado en el ejercicio de las atribuciones regulares de las que gozan las autoridades.</w:t>
      </w:r>
    </w:p>
    <w:p w14:paraId="6637309C" w14:textId="387E43ED" w:rsidR="00BB7B3B" w:rsidRPr="000A2EB9" w:rsidRDefault="00D4692A" w:rsidP="00303B6D">
      <w:pPr>
        <w:spacing w:line="360" w:lineRule="auto"/>
        <w:jc w:val="both"/>
        <w:rPr>
          <w:bCs/>
          <w:lang w:val="es-ES"/>
        </w:rPr>
      </w:pPr>
      <w:r w:rsidRPr="000A2EB9">
        <w:rPr>
          <w:bCs/>
          <w:lang w:val="es-ES"/>
        </w:rPr>
        <w:tab/>
        <w:t>El voto conjunto de los jueces Fayt, Petracchi, Maqueda y Zaffaroni comenzó el análisis de esta cuestión recordando y remitiendo a lo expuesto en el precedente “Pérez”, antes desarrollado en este trabajo, en cuanto a los antecedentes jurídicos e institucionales demostrativos de la temprana y permanente preocupación del derecho de los derechos humanos, tanto nacional como internacional, por el salario, su justicia y protección. Asimismo, ratificaron que el salario es el medio por el cual el trabajador "se gana la vida" y apuntaron que tal dato elemental resulta de esencial relevancia para  decidir el tema discutido en esta causa ya que constituye el eje mayor para esclarecerlo.</w:t>
      </w:r>
    </w:p>
    <w:p w14:paraId="649CFBF0" w14:textId="2AC25733" w:rsidR="00D4692A" w:rsidRPr="000A2EB9" w:rsidRDefault="00D4692A" w:rsidP="00D4692A">
      <w:pPr>
        <w:spacing w:line="360" w:lineRule="auto"/>
        <w:jc w:val="both"/>
        <w:rPr>
          <w:bCs/>
          <w:lang w:val="es-ES"/>
        </w:rPr>
      </w:pPr>
      <w:r w:rsidRPr="000A2EB9">
        <w:rPr>
          <w:bCs/>
          <w:lang w:val="es-ES"/>
        </w:rPr>
        <w:tab/>
        <w:t>Citaron nuevamente la directa e indisociable atadura que une a la remuneración con la vida misma de un empleado y, regularmente, de su familia, afirmando que ganarse la vida es obtener, como mínimo, lo necesario para acceder a la salud; a la educación; a la cultura; a un nivel de vida adecuado, lo cual incluye alimento adecuado, vivienda adecuada y vestido adecuado; al descanso, entre muchos otros bienes del terreno de los derechos humanos económicos, sociales y culturales.</w:t>
      </w:r>
    </w:p>
    <w:p w14:paraId="5F00B5FC" w14:textId="3C410114" w:rsidR="00D4692A" w:rsidRPr="000A2EB9" w:rsidRDefault="00D4692A" w:rsidP="00D4692A">
      <w:pPr>
        <w:spacing w:line="360" w:lineRule="auto"/>
        <w:jc w:val="both"/>
        <w:rPr>
          <w:bCs/>
          <w:lang w:val="es-ES"/>
        </w:rPr>
      </w:pPr>
      <w:r w:rsidRPr="000A2EB9">
        <w:rPr>
          <w:bCs/>
          <w:lang w:val="es-ES"/>
        </w:rPr>
        <w:t xml:space="preserve"> </w:t>
      </w:r>
      <w:r w:rsidRPr="000A2EB9">
        <w:rPr>
          <w:bCs/>
          <w:lang w:val="es-ES"/>
        </w:rPr>
        <w:tab/>
        <w:t>Por eso, señalaron,</w:t>
      </w:r>
      <w:r w:rsidR="000B58BD" w:rsidRPr="000A2EB9">
        <w:rPr>
          <w:bCs/>
          <w:lang w:val="es-ES"/>
        </w:rPr>
        <w:t xml:space="preserve"> que </w:t>
      </w:r>
      <w:r w:rsidRPr="000A2EB9">
        <w:rPr>
          <w:bCs/>
          <w:lang w:val="es-ES"/>
        </w:rPr>
        <w:t>la proyección del salario es de alcances incluso mayores, dado que también comprende el ejercicio de los derechos humanos civiles y políticos  desde el momento en que ese ejercicio es "imposible" sin el goce paralelo de los derechos económicos, sociales y culturales; afirmando que lo discutido en la causa es el derecho del trabajador a ganarse la vida, una "vida digna"</w:t>
      </w:r>
    </w:p>
    <w:p w14:paraId="5FB470AA" w14:textId="4FDA9E0B" w:rsidR="00F87E0B" w:rsidRPr="000A2EB9" w:rsidRDefault="00F87E0B" w:rsidP="00303B6D">
      <w:pPr>
        <w:spacing w:line="360" w:lineRule="auto"/>
        <w:jc w:val="both"/>
        <w:rPr>
          <w:bCs/>
          <w:lang w:val="es-ES"/>
        </w:rPr>
      </w:pPr>
      <w:r w:rsidRPr="000A2EB9">
        <w:rPr>
          <w:bCs/>
          <w:lang w:val="es-ES"/>
        </w:rPr>
        <w:tab/>
        <w:t>Luce particularmente interesante lo dicho por dichos jueces en orden a que</w:t>
      </w:r>
      <w:r w:rsidR="004C4C85" w:rsidRPr="000A2EB9">
        <w:rPr>
          <w:bCs/>
          <w:lang w:val="es-ES"/>
        </w:rPr>
        <w:t xml:space="preserve"> no </w:t>
      </w:r>
      <w:r w:rsidR="00B24B16" w:rsidRPr="000A2EB9">
        <w:rPr>
          <w:bCs/>
          <w:lang w:val="es-ES"/>
        </w:rPr>
        <w:t xml:space="preserve">se deben dejar de advertir, </w:t>
      </w:r>
      <w:r w:rsidRPr="000A2EB9">
        <w:rPr>
          <w:bCs/>
          <w:lang w:val="es-ES"/>
        </w:rPr>
        <w:t>a la hora de examinar este tipo de medidas estatales</w:t>
      </w:r>
      <w:r w:rsidR="00B24B16" w:rsidRPr="000A2EB9">
        <w:rPr>
          <w:bCs/>
          <w:lang w:val="es-ES"/>
        </w:rPr>
        <w:t xml:space="preserve">, </w:t>
      </w:r>
      <w:r w:rsidRPr="000A2EB9">
        <w:rPr>
          <w:bCs/>
          <w:lang w:val="es-ES"/>
        </w:rPr>
        <w:t xml:space="preserve"> </w:t>
      </w:r>
      <w:r w:rsidR="00B24B16" w:rsidRPr="000A2EB9">
        <w:rPr>
          <w:bCs/>
          <w:lang w:val="es-ES"/>
        </w:rPr>
        <w:t>l</w:t>
      </w:r>
      <w:r w:rsidRPr="000A2EB9">
        <w:rPr>
          <w:bCs/>
          <w:lang w:val="es-ES"/>
        </w:rPr>
        <w:t xml:space="preserve">os </w:t>
      </w:r>
      <w:r w:rsidRPr="000A2EB9">
        <w:rPr>
          <w:bCs/>
          <w:lang w:val="es-ES"/>
        </w:rPr>
        <w:lastRenderedPageBreak/>
        <w:t>múltiples efectos que provocan sobre la realidad, es decir, su directa y notoria repercusión sobre el grado o la medida del acceso del trabajador y de su familia al goce y ejercicio de derechos fundamentales</w:t>
      </w:r>
      <w:r w:rsidR="00B24B16" w:rsidRPr="000A2EB9">
        <w:rPr>
          <w:bCs/>
          <w:lang w:val="es-ES"/>
        </w:rPr>
        <w:t xml:space="preserve">, reiterando que </w:t>
      </w:r>
      <w:r w:rsidRPr="000A2EB9">
        <w:rPr>
          <w:bCs/>
          <w:lang w:val="es-ES"/>
        </w:rPr>
        <w:t>el art</w:t>
      </w:r>
      <w:r w:rsidR="00B24B16" w:rsidRPr="000A2EB9">
        <w:rPr>
          <w:bCs/>
          <w:lang w:val="es-ES"/>
        </w:rPr>
        <w:t xml:space="preserve">. </w:t>
      </w:r>
      <w:r w:rsidRPr="000A2EB9">
        <w:rPr>
          <w:bCs/>
          <w:lang w:val="es-ES"/>
        </w:rPr>
        <w:t>14 bis de la Constitución Nacional y, por ende, el princ</w:t>
      </w:r>
      <w:r w:rsidR="00B24B16" w:rsidRPr="000A2EB9">
        <w:rPr>
          <w:bCs/>
          <w:lang w:val="es-ES"/>
        </w:rPr>
        <w:t>i</w:t>
      </w:r>
      <w:r w:rsidRPr="000A2EB9">
        <w:rPr>
          <w:bCs/>
          <w:lang w:val="es-ES"/>
        </w:rPr>
        <w:t>pio protectorio del trabajo y del trabajador que enuncia, son aplicables por entero al empleado público y a la relación de empleo público</w:t>
      </w:r>
      <w:r w:rsidR="00B24B16" w:rsidRPr="000A2EB9">
        <w:rPr>
          <w:bCs/>
          <w:lang w:val="es-ES"/>
        </w:rPr>
        <w:t>.</w:t>
      </w:r>
    </w:p>
    <w:p w14:paraId="53297DD0" w14:textId="2C4D2F2C" w:rsidR="00F87E0B" w:rsidRPr="000A2EB9" w:rsidRDefault="00F87E0B" w:rsidP="00B24B16">
      <w:pPr>
        <w:spacing w:line="360" w:lineRule="auto"/>
        <w:ind w:firstLine="720"/>
        <w:jc w:val="both"/>
        <w:rPr>
          <w:bCs/>
          <w:lang w:val="es-ES"/>
        </w:rPr>
      </w:pPr>
      <w:r w:rsidRPr="000A2EB9">
        <w:rPr>
          <w:bCs/>
          <w:lang w:val="es-ES"/>
        </w:rPr>
        <w:t xml:space="preserve">Reiteraron </w:t>
      </w:r>
      <w:r w:rsidR="00B24B16" w:rsidRPr="000A2EB9">
        <w:rPr>
          <w:bCs/>
          <w:lang w:val="es-ES"/>
        </w:rPr>
        <w:t xml:space="preserve">los jueces del Alto Tribunal </w:t>
      </w:r>
      <w:r w:rsidRPr="000A2EB9">
        <w:rPr>
          <w:bCs/>
          <w:lang w:val="es-ES"/>
        </w:rPr>
        <w:t>que el "derecho a perseguir su bienestar material" por intermedio del trabajo asalariado, ha de estar rodead</w:t>
      </w:r>
      <w:r w:rsidR="000B58BD" w:rsidRPr="000A2EB9">
        <w:rPr>
          <w:bCs/>
          <w:lang w:val="es-ES"/>
        </w:rPr>
        <w:t>o</w:t>
      </w:r>
      <w:r w:rsidRPr="000A2EB9">
        <w:rPr>
          <w:bCs/>
          <w:lang w:val="es-ES"/>
        </w:rPr>
        <w:t xml:space="preserve">, entre otras condiciones, de "seguridad económica", según lo impone a los Miembros de la Organización Internacional del Trabajo la Declaración de los Fines y Objetivos de esta institución, del 10 de mayo de 1944, llamada Declaración de Filadelfia </w:t>
      </w:r>
      <w:r w:rsidR="00B24B16" w:rsidRPr="000A2EB9">
        <w:rPr>
          <w:bCs/>
          <w:lang w:val="es-ES"/>
        </w:rPr>
        <w:t xml:space="preserve">y que, </w:t>
      </w:r>
      <w:r w:rsidRPr="000A2EB9">
        <w:rPr>
          <w:bCs/>
          <w:lang w:val="es-ES"/>
        </w:rPr>
        <w:t>si bien los Estados tienen un margen en el que pueden ejercer su criterio para cumplir con el arto 2.1 del PIDESC, no por ello esta norma deja de imponerles claramente la obligación de adoptar las medidas que sean necesarias para velar por que todas las personas queden protegidas frente a la "inseguridad en el empleo</w:t>
      </w:r>
      <w:r w:rsidR="000B58BD" w:rsidRPr="000A2EB9">
        <w:rPr>
          <w:bCs/>
          <w:lang w:val="es-ES"/>
        </w:rPr>
        <w:t>”</w:t>
      </w:r>
      <w:r w:rsidR="00B24B16" w:rsidRPr="000A2EB9">
        <w:rPr>
          <w:bCs/>
          <w:lang w:val="es-ES"/>
        </w:rPr>
        <w:t>.</w:t>
      </w:r>
    </w:p>
    <w:p w14:paraId="76587DD1" w14:textId="38E362A5" w:rsidR="00B24B16" w:rsidRPr="000A2EB9" w:rsidRDefault="00F87E0B" w:rsidP="00B24B16">
      <w:pPr>
        <w:spacing w:line="360" w:lineRule="auto"/>
        <w:ind w:firstLine="720"/>
        <w:jc w:val="both"/>
        <w:rPr>
          <w:bCs/>
          <w:lang w:val="es-ES"/>
        </w:rPr>
      </w:pPr>
      <w:r w:rsidRPr="000A2EB9">
        <w:rPr>
          <w:bCs/>
          <w:lang w:val="es-ES"/>
        </w:rPr>
        <w:t>Por otra parte, dejaron aclarado los jueces del Supremo Tribunal argentino que lo antedicho, desde luego, no implica negar que el Estado, para conjurar, en aras del bien común, las llamadas situaciones de emergencia económica, pueda disminuir temporariamente las remuneraciones de sus empleados</w:t>
      </w:r>
      <w:r w:rsidR="000B58BD" w:rsidRPr="000A2EB9">
        <w:rPr>
          <w:bCs/>
          <w:lang w:val="es-ES"/>
        </w:rPr>
        <w:t>. En efecto, e</w:t>
      </w:r>
      <w:r w:rsidR="00B24B16" w:rsidRPr="000A2EB9">
        <w:rPr>
          <w:bCs/>
          <w:lang w:val="es-ES"/>
        </w:rPr>
        <w:t xml:space="preserve">l voto que estoy reseñando aseveró que </w:t>
      </w:r>
      <w:r w:rsidRPr="000A2EB9">
        <w:rPr>
          <w:bCs/>
          <w:lang w:val="es-ES"/>
        </w:rPr>
        <w:t>citado art</w:t>
      </w:r>
      <w:r w:rsidR="00B24B16" w:rsidRPr="000A2EB9">
        <w:rPr>
          <w:bCs/>
          <w:lang w:val="es-ES"/>
        </w:rPr>
        <w:t>.</w:t>
      </w:r>
      <w:r w:rsidRPr="000A2EB9">
        <w:rPr>
          <w:bCs/>
          <w:lang w:val="es-ES"/>
        </w:rPr>
        <w:t xml:space="preserve"> 14 bis es cláusula operativa y, por ende, susceptible de autónomo acatamiento por las autoridades administrativas</w:t>
      </w:r>
      <w:r w:rsidR="00B24B16" w:rsidRPr="000A2EB9">
        <w:rPr>
          <w:bCs/>
          <w:lang w:val="es-ES"/>
        </w:rPr>
        <w:t xml:space="preserve"> y que </w:t>
      </w:r>
      <w:r w:rsidRPr="000A2EB9">
        <w:rPr>
          <w:bCs/>
          <w:lang w:val="es-ES"/>
        </w:rPr>
        <w:t xml:space="preserve">las llamadas "medidas de ajuste" derivadas de "crisis económicas" y una "grave escasez de recursos", hacen que los esfuerzos de las autoridades por proteger los derechos económicos, sociales y culturales adquieran una urgencia "mayor, no menor". </w:t>
      </w:r>
    </w:p>
    <w:p w14:paraId="03BB2994" w14:textId="3248F18E" w:rsidR="00F87E0B" w:rsidRPr="000A2EB9" w:rsidRDefault="00F87E0B" w:rsidP="00B24B16">
      <w:pPr>
        <w:spacing w:line="360" w:lineRule="auto"/>
        <w:ind w:firstLine="720"/>
        <w:jc w:val="both"/>
        <w:rPr>
          <w:bCs/>
          <w:lang w:val="es-ES"/>
        </w:rPr>
      </w:pPr>
      <w:r w:rsidRPr="000A2EB9">
        <w:rPr>
          <w:bCs/>
          <w:lang w:val="es-ES"/>
        </w:rPr>
        <w:t>Y</w:t>
      </w:r>
      <w:r w:rsidR="00B24B16" w:rsidRPr="000A2EB9">
        <w:rPr>
          <w:bCs/>
          <w:lang w:val="es-ES"/>
        </w:rPr>
        <w:t xml:space="preserve"> sentaron una trascendental regla al decir que </w:t>
      </w:r>
      <w:r w:rsidRPr="000A2EB9">
        <w:rPr>
          <w:bCs/>
          <w:lang w:val="es-ES"/>
        </w:rPr>
        <w:t>la "protección" de las</w:t>
      </w:r>
      <w:r w:rsidR="00B24B16" w:rsidRPr="000A2EB9">
        <w:rPr>
          <w:bCs/>
          <w:lang w:val="es-ES"/>
        </w:rPr>
        <w:t xml:space="preserve"> </w:t>
      </w:r>
      <w:r w:rsidRPr="000A2EB9">
        <w:rPr>
          <w:bCs/>
          <w:lang w:val="es-ES"/>
        </w:rPr>
        <w:t xml:space="preserve">"capas vulnerables de la población" es, precisamente, "el objetivo básico del ajuste económico" </w:t>
      </w:r>
      <w:r w:rsidR="00B24B16" w:rsidRPr="000A2EB9">
        <w:rPr>
          <w:bCs/>
          <w:lang w:val="es-ES"/>
        </w:rPr>
        <w:t>y que t</w:t>
      </w:r>
      <w:r w:rsidRPr="000A2EB9">
        <w:rPr>
          <w:bCs/>
          <w:lang w:val="es-ES"/>
        </w:rPr>
        <w:t>odo equilibrio entre las reformas económicas y la protección de los derechos humanos obliga a proteger "en particular a los grupos más vulnerables", cuanto más en el campo laboral y salarial, en el cual, todos los poderes públicos, dentro de la órbita de sus respectivas competencias, "deben hacer prevalecer el espíritu protector que an</w:t>
      </w:r>
      <w:r w:rsidR="000B58BD" w:rsidRPr="000A2EB9">
        <w:rPr>
          <w:bCs/>
          <w:lang w:val="es-ES"/>
        </w:rPr>
        <w:t>i</w:t>
      </w:r>
      <w:r w:rsidRPr="000A2EB9">
        <w:rPr>
          <w:bCs/>
          <w:lang w:val="es-ES"/>
        </w:rPr>
        <w:t>ma" al art. 14 bis constitucional, tutela ésta que, por ende, impone "un particular enfoque para el control de constitucionalidad"</w:t>
      </w:r>
      <w:r w:rsidR="00B24B16" w:rsidRPr="000A2EB9">
        <w:rPr>
          <w:bCs/>
          <w:lang w:val="es-ES"/>
        </w:rPr>
        <w:t>.</w:t>
      </w:r>
    </w:p>
    <w:p w14:paraId="0AFFDE14" w14:textId="1EE56EBB" w:rsidR="00F87E0B" w:rsidRPr="000A2EB9" w:rsidRDefault="00B24B16" w:rsidP="00B24B16">
      <w:pPr>
        <w:spacing w:line="360" w:lineRule="auto"/>
        <w:ind w:firstLine="720"/>
        <w:jc w:val="both"/>
        <w:rPr>
          <w:bCs/>
          <w:lang w:val="es-ES"/>
        </w:rPr>
      </w:pPr>
      <w:r w:rsidRPr="000A2EB9">
        <w:rPr>
          <w:bCs/>
          <w:lang w:val="es-ES"/>
        </w:rPr>
        <w:t>En base a tan elevadas consideraciones, los jueces afirmaron que resultaba inofi</w:t>
      </w:r>
      <w:r w:rsidR="00F87E0B" w:rsidRPr="000A2EB9">
        <w:rPr>
          <w:bCs/>
          <w:lang w:val="es-ES"/>
        </w:rPr>
        <w:t xml:space="preserve">cioso </w:t>
      </w:r>
      <w:r w:rsidRPr="000A2EB9">
        <w:rPr>
          <w:bCs/>
          <w:lang w:val="es-ES"/>
        </w:rPr>
        <w:t xml:space="preserve">examinar si el decreto cuestionado </w:t>
      </w:r>
      <w:r w:rsidR="00F87E0B" w:rsidRPr="000A2EB9">
        <w:rPr>
          <w:bCs/>
          <w:lang w:val="es-ES"/>
        </w:rPr>
        <w:t xml:space="preserve">satisfizo los restantes recaudos que condicionan su validez </w:t>
      </w:r>
      <w:r w:rsidRPr="000A2EB9">
        <w:rPr>
          <w:bCs/>
          <w:lang w:val="es-ES"/>
        </w:rPr>
        <w:t>como norma de emergencia</w:t>
      </w:r>
      <w:r w:rsidR="00F87E0B" w:rsidRPr="000A2EB9">
        <w:rPr>
          <w:bCs/>
          <w:lang w:val="es-ES"/>
        </w:rPr>
        <w:t>.</w:t>
      </w:r>
    </w:p>
    <w:p w14:paraId="2A7BEA34" w14:textId="2702F89B" w:rsidR="000B58BD" w:rsidRPr="000A2EB9" w:rsidRDefault="000B58BD" w:rsidP="005B3394">
      <w:pPr>
        <w:spacing w:line="360" w:lineRule="auto"/>
        <w:jc w:val="both"/>
        <w:rPr>
          <w:bCs/>
          <w:lang w:val="es-ES"/>
        </w:rPr>
      </w:pPr>
      <w:r w:rsidRPr="000A2EB9">
        <w:rPr>
          <w:bCs/>
          <w:lang w:val="es-ES"/>
        </w:rPr>
        <w:tab/>
        <w:t xml:space="preserve">Puede decirse que, con este claro </w:t>
      </w:r>
      <w:r w:rsidR="00474B76" w:rsidRPr="000A2EB9">
        <w:rPr>
          <w:bCs/>
          <w:lang w:val="es-ES"/>
        </w:rPr>
        <w:t xml:space="preserve">y fundamentado </w:t>
      </w:r>
      <w:r w:rsidRPr="000A2EB9">
        <w:rPr>
          <w:bCs/>
          <w:lang w:val="es-ES"/>
        </w:rPr>
        <w:t xml:space="preserve">pronunciamiento, la Corte Suprema dejó atrás la </w:t>
      </w:r>
      <w:r w:rsidR="00474B76" w:rsidRPr="000A2EB9">
        <w:rPr>
          <w:bCs/>
          <w:lang w:val="es-ES"/>
        </w:rPr>
        <w:t>líne</w:t>
      </w:r>
      <w:r w:rsidRPr="000A2EB9">
        <w:rPr>
          <w:bCs/>
          <w:lang w:val="es-ES"/>
        </w:rPr>
        <w:t xml:space="preserve">a zigzagueante que a </w:t>
      </w:r>
      <w:r w:rsidR="00474B76" w:rsidRPr="000A2EB9">
        <w:rPr>
          <w:bCs/>
          <w:lang w:val="es-ES"/>
        </w:rPr>
        <w:t xml:space="preserve">principios de la década del 2000, con la anterior integración, siguiera con sus decisiones en los casos “Guida, Liliana c/ PEN” el 02/06/2000 y “Müller, Miguel Angel c/ PEN” del 10/04/2003, en los que </w:t>
      </w:r>
      <w:r w:rsidR="00474B76" w:rsidRPr="000A2EB9">
        <w:rPr>
          <w:bCs/>
          <w:lang w:val="es-ES"/>
        </w:rPr>
        <w:lastRenderedPageBreak/>
        <w:t>validara decretos que, con invocación de la emergencia económica, redujeron los salarios del sector público (</w:t>
      </w:r>
      <w:r w:rsidR="00474B76" w:rsidRPr="000A2EB9">
        <w:rPr>
          <w:rStyle w:val="Refdenotaalpie"/>
          <w:bCs/>
          <w:lang w:val="es-ES"/>
        </w:rPr>
        <w:footnoteReference w:id="65"/>
      </w:r>
      <w:r w:rsidR="00474B76" w:rsidRPr="000A2EB9">
        <w:rPr>
          <w:bCs/>
          <w:lang w:val="es-ES"/>
        </w:rPr>
        <w:t>).</w:t>
      </w:r>
    </w:p>
    <w:p w14:paraId="622EC8A9" w14:textId="3367A6EF" w:rsidR="008D58B1" w:rsidRPr="000A2EB9" w:rsidRDefault="008D58B1" w:rsidP="005B3394">
      <w:pPr>
        <w:spacing w:line="360" w:lineRule="auto"/>
        <w:jc w:val="both"/>
        <w:rPr>
          <w:bCs/>
          <w:lang w:val="es-ES"/>
        </w:rPr>
      </w:pPr>
      <w:r w:rsidRPr="000A2EB9">
        <w:rPr>
          <w:bCs/>
          <w:lang w:val="es-ES"/>
        </w:rPr>
        <w:tab/>
        <w:t xml:space="preserve">Nuevamente el Máximo Tribunal desestimó la operatividad de la teoría de los actos propios en materia de derecho de índole laboral en la sentencia que dictó el 27/11/2014 en la causa </w:t>
      </w:r>
      <w:r w:rsidRPr="000A2EB9">
        <w:rPr>
          <w:b/>
          <w:lang w:val="es-ES"/>
        </w:rPr>
        <w:t>“C</w:t>
      </w:r>
      <w:r w:rsidR="005B3394" w:rsidRPr="000A2EB9">
        <w:rPr>
          <w:b/>
          <w:lang w:val="es-ES"/>
        </w:rPr>
        <w:t>orrado, Jorge Guillermo y otros c/ c/ Estado Nacional. Ministerio del Trabajo y Seguridad Social</w:t>
      </w:r>
      <w:r w:rsidRPr="000A2EB9">
        <w:rPr>
          <w:b/>
          <w:lang w:val="es-ES"/>
        </w:rPr>
        <w:t>”</w:t>
      </w:r>
      <w:r w:rsidRPr="000A2EB9">
        <w:rPr>
          <w:bCs/>
          <w:lang w:val="es-ES"/>
        </w:rPr>
        <w:t>.</w:t>
      </w:r>
    </w:p>
    <w:p w14:paraId="67C87E33" w14:textId="44749DB3" w:rsidR="005B3394" w:rsidRPr="000A2EB9" w:rsidRDefault="008D58B1" w:rsidP="008D58B1">
      <w:pPr>
        <w:spacing w:line="360" w:lineRule="auto"/>
        <w:ind w:firstLine="720"/>
        <w:jc w:val="both"/>
        <w:rPr>
          <w:bCs/>
          <w:lang w:val="es-ES"/>
        </w:rPr>
      </w:pPr>
      <w:r w:rsidRPr="000A2EB9">
        <w:rPr>
          <w:bCs/>
          <w:lang w:val="es-ES"/>
        </w:rPr>
        <w:t xml:space="preserve">En dicha causa </w:t>
      </w:r>
      <w:r w:rsidR="005B3394" w:rsidRPr="000A2EB9">
        <w:rPr>
          <w:bCs/>
          <w:lang w:val="es-ES"/>
        </w:rPr>
        <w:t>la Sala I de la Cámara Federal Civil y Comercial</w:t>
      </w:r>
      <w:r w:rsidRPr="000A2EB9">
        <w:rPr>
          <w:bCs/>
          <w:lang w:val="es-ES"/>
        </w:rPr>
        <w:t>, al revocar la sentencia de primera instancia,</w:t>
      </w:r>
      <w:r w:rsidR="005B3394" w:rsidRPr="000A2EB9">
        <w:rPr>
          <w:bCs/>
          <w:lang w:val="es-ES"/>
        </w:rPr>
        <w:t xml:space="preserve"> había desestimado la demanda </w:t>
      </w:r>
      <w:r w:rsidRPr="000A2EB9">
        <w:rPr>
          <w:bCs/>
          <w:lang w:val="es-ES"/>
        </w:rPr>
        <w:t>de los actores tendiente a ser resarcidos por la falta de emisión de los bonos de participación en las ganancias de Telefónica de Argentina</w:t>
      </w:r>
      <w:r w:rsidR="00474B76" w:rsidRPr="000A2EB9">
        <w:rPr>
          <w:bCs/>
          <w:lang w:val="es-ES"/>
        </w:rPr>
        <w:t xml:space="preserve"> SA</w:t>
      </w:r>
      <w:r w:rsidRPr="000A2EB9">
        <w:rPr>
          <w:bCs/>
          <w:lang w:val="es-ES"/>
        </w:rPr>
        <w:t xml:space="preserve">, bonos que la empresa omitió entregarles con sustento en la eximición dispuesta por el decreto 395/92. La Cámara desestimó el planteo de inconstitucionalidad contra dicha norma y aplicó la </w:t>
      </w:r>
      <w:r w:rsidR="005B3394" w:rsidRPr="000A2EB9">
        <w:rPr>
          <w:bCs/>
          <w:lang w:val="es-ES"/>
        </w:rPr>
        <w:t>teoría actos propios, porque los actores no habían reclamado el rubro al firmar los acuerdos extintivos.</w:t>
      </w:r>
    </w:p>
    <w:p w14:paraId="6D688F7F" w14:textId="7C67EDC7" w:rsidR="00A545CE" w:rsidRPr="000A2EB9" w:rsidRDefault="00A545CE" w:rsidP="008D58B1">
      <w:pPr>
        <w:spacing w:line="360" w:lineRule="auto"/>
        <w:ind w:firstLine="720"/>
        <w:jc w:val="both"/>
        <w:rPr>
          <w:bCs/>
          <w:lang w:val="es-ES"/>
        </w:rPr>
      </w:pPr>
      <w:r w:rsidRPr="000A2EB9">
        <w:rPr>
          <w:bCs/>
          <w:lang w:val="es-ES"/>
        </w:rPr>
        <w:t>El voto conjunto de los jueces Zaffaroni y Maqueda, tras admitir la pretensión inicial y recursiva de declarar la inconstitucionalidad del decreto 395/92 con remisión al precedente "Gentini, Jorge Mario y otros c/ Estado Nacional. Ministerio del Trabajo y Seguridad Social” del 12/8/08 (</w:t>
      </w:r>
      <w:r w:rsidRPr="000A2EB9">
        <w:rPr>
          <w:rStyle w:val="Refdenotaalpie"/>
          <w:bCs/>
          <w:lang w:val="es-ES"/>
        </w:rPr>
        <w:footnoteReference w:id="66"/>
      </w:r>
      <w:r w:rsidRPr="000A2EB9">
        <w:rPr>
          <w:bCs/>
          <w:lang w:val="es-ES"/>
        </w:rPr>
        <w:t xml:space="preserve">), tajantemente afirmó que </w:t>
      </w:r>
      <w:r w:rsidRPr="000A2EB9">
        <w:rPr>
          <w:bCs/>
          <w:i/>
          <w:iCs/>
          <w:lang w:val="es-ES"/>
        </w:rPr>
        <w:t>no es aplicable a este tipo de reclamos la teoría de los actos propios ya que el beneficio de participación en las ganancias discutido en la causa reconoce su fuente primaria en el arto 14 bis de la Constitución Nacional y, tanto el principio protectorio que este articulo enuncia como el carácter inviolable de los derechos que reconoce, conducen necesariamente a la indisponibilidad y la prohibición de renunciar a la aplicación de las normas legales dictadas para asegurar el goce de tales derechos por parte de los trabajadores</w:t>
      </w:r>
      <w:r w:rsidRPr="000A2EB9">
        <w:rPr>
          <w:bCs/>
          <w:lang w:val="es-ES"/>
        </w:rPr>
        <w:t>.</w:t>
      </w:r>
    </w:p>
    <w:p w14:paraId="66A4A7EA" w14:textId="593FD238" w:rsidR="00227D2F" w:rsidRPr="000A2EB9" w:rsidRDefault="00227D2F" w:rsidP="00B63D4D">
      <w:pPr>
        <w:spacing w:line="360" w:lineRule="auto"/>
        <w:ind w:firstLine="720"/>
        <w:jc w:val="both"/>
        <w:rPr>
          <w:bCs/>
          <w:lang w:val="es-ES"/>
        </w:rPr>
      </w:pPr>
      <w:r w:rsidRPr="000A2EB9">
        <w:rPr>
          <w:bCs/>
          <w:lang w:val="es-ES"/>
        </w:rPr>
        <w:t>El</w:t>
      </w:r>
      <w:r w:rsidR="00B63D4D" w:rsidRPr="000A2EB9">
        <w:rPr>
          <w:bCs/>
          <w:lang w:val="es-ES"/>
        </w:rPr>
        <w:t xml:space="preserve"> voto</w:t>
      </w:r>
      <w:r w:rsidR="00A545CE" w:rsidRPr="000A2EB9">
        <w:rPr>
          <w:bCs/>
          <w:lang w:val="es-ES"/>
        </w:rPr>
        <w:t xml:space="preserve"> concurrente</w:t>
      </w:r>
      <w:r w:rsidR="00B63D4D" w:rsidRPr="000A2EB9">
        <w:rPr>
          <w:bCs/>
          <w:lang w:val="es-ES"/>
        </w:rPr>
        <w:t xml:space="preserve"> </w:t>
      </w:r>
      <w:r w:rsidR="00A545CE" w:rsidRPr="000A2EB9">
        <w:rPr>
          <w:bCs/>
          <w:lang w:val="es-ES"/>
        </w:rPr>
        <w:t>de la jueza Highton, escuetamente, afirm</w:t>
      </w:r>
      <w:r w:rsidRPr="000A2EB9">
        <w:rPr>
          <w:bCs/>
          <w:lang w:val="es-ES"/>
        </w:rPr>
        <w:t xml:space="preserve">ó </w:t>
      </w:r>
      <w:r w:rsidR="00A545CE" w:rsidRPr="000A2EB9">
        <w:rPr>
          <w:bCs/>
          <w:lang w:val="es-ES"/>
        </w:rPr>
        <w:t>que, al hacerse aplicable al caso la doctrina sentada en “Gentini” no puede darse validez a las renuncias a las que se atuviera la Cámara en su fallo</w:t>
      </w:r>
      <w:r w:rsidRPr="000A2EB9">
        <w:rPr>
          <w:bCs/>
          <w:lang w:val="es-ES"/>
        </w:rPr>
        <w:t>.</w:t>
      </w:r>
    </w:p>
    <w:p w14:paraId="119E5048" w14:textId="579E7D6C" w:rsidR="005B3394" w:rsidRPr="000A2EB9" w:rsidRDefault="00227D2F" w:rsidP="00B63D4D">
      <w:pPr>
        <w:spacing w:line="360" w:lineRule="auto"/>
        <w:ind w:firstLine="720"/>
        <w:jc w:val="both"/>
        <w:rPr>
          <w:bCs/>
          <w:lang w:val="es-ES"/>
        </w:rPr>
      </w:pPr>
      <w:r w:rsidRPr="000A2EB9">
        <w:rPr>
          <w:bCs/>
          <w:lang w:val="es-ES"/>
        </w:rPr>
        <w:t>El juez Fayt, por su parte, también vot</w:t>
      </w:r>
      <w:r w:rsidR="00474B76" w:rsidRPr="000A2EB9">
        <w:rPr>
          <w:bCs/>
          <w:lang w:val="es-ES"/>
        </w:rPr>
        <w:t>ó</w:t>
      </w:r>
      <w:r w:rsidRPr="000A2EB9">
        <w:rPr>
          <w:bCs/>
          <w:lang w:val="es-ES"/>
        </w:rPr>
        <w:t xml:space="preserve"> en forma individual y lo hizo en términos similares a los empleados por la jueza Highton pero remarcó que los acuerdos extintivos ponderados por el Tribunal a qu</w:t>
      </w:r>
      <w:r w:rsidR="00474B76" w:rsidRPr="000A2EB9">
        <w:rPr>
          <w:bCs/>
          <w:lang w:val="es-ES"/>
        </w:rPr>
        <w:t>o</w:t>
      </w:r>
      <w:r w:rsidRPr="000A2EB9">
        <w:rPr>
          <w:bCs/>
          <w:lang w:val="es-ES"/>
        </w:rPr>
        <w:t xml:space="preserve"> no incluyeron los créditos objeto de esa litis y que, ante la negativa del ente obligado a emitir los bonos respectivos, no es razonable concluir que estos últimos estuviesen previstos en una estipulación rescisoria de índole eminentemente laboral; </w:t>
      </w:r>
      <w:r w:rsidR="00474B76" w:rsidRPr="000A2EB9">
        <w:rPr>
          <w:bCs/>
          <w:lang w:val="es-ES"/>
        </w:rPr>
        <w:t>y también dijo que</w:t>
      </w:r>
      <w:r w:rsidRPr="000A2EB9">
        <w:rPr>
          <w:bCs/>
          <w:lang w:val="es-ES"/>
        </w:rPr>
        <w:t xml:space="preserve"> idéntica conclusión cabe predicar de las cláusulas de abandono de derechos insertas en los recibos de cobro de dividendos, las que en nada se relacionan con la presente demanda, encaminada a obtener reparaciones por la falta de percepción de las ganancias que los actores hubieran obtenido en virtud de aquella emisión.</w:t>
      </w:r>
    </w:p>
    <w:p w14:paraId="59D48E6B" w14:textId="0AA92546" w:rsidR="00B63D4D" w:rsidRPr="000A2EB9" w:rsidRDefault="00B63D4D" w:rsidP="00B63D4D">
      <w:pPr>
        <w:spacing w:line="360" w:lineRule="auto"/>
        <w:ind w:firstLine="720"/>
        <w:jc w:val="both"/>
        <w:rPr>
          <w:bCs/>
          <w:lang w:val="es-ES"/>
        </w:rPr>
      </w:pPr>
      <w:r w:rsidRPr="000A2EB9">
        <w:rPr>
          <w:bCs/>
          <w:lang w:val="es-ES"/>
        </w:rPr>
        <w:lastRenderedPageBreak/>
        <w:t xml:space="preserve">Finalmente en cuanto a este segmento del análisis, cabe consignar lo decidido el 30/06/2015 en el caso </w:t>
      </w:r>
      <w:r w:rsidR="00303B6D" w:rsidRPr="000A2EB9">
        <w:rPr>
          <w:b/>
          <w:lang w:val="es-ES"/>
        </w:rPr>
        <w:t>“Romagnoli, Dante c/ Acindar SA</w:t>
      </w:r>
      <w:r w:rsidR="00474B76" w:rsidRPr="000A2EB9">
        <w:rPr>
          <w:b/>
          <w:lang w:val="es-ES"/>
        </w:rPr>
        <w:t>”</w:t>
      </w:r>
      <w:r w:rsidR="007A12C3" w:rsidRPr="000A2EB9">
        <w:rPr>
          <w:bCs/>
          <w:lang w:val="es-ES"/>
        </w:rPr>
        <w:t>, causa muy peculiar como se verá de inmediato</w:t>
      </w:r>
      <w:r w:rsidR="00474B76" w:rsidRPr="000A2EB9">
        <w:rPr>
          <w:bCs/>
          <w:lang w:val="es-ES"/>
        </w:rPr>
        <w:t xml:space="preserve">, lo que </w:t>
      </w:r>
      <w:r w:rsidR="007A12C3" w:rsidRPr="000A2EB9">
        <w:rPr>
          <w:bCs/>
          <w:lang w:val="es-ES"/>
        </w:rPr>
        <w:t xml:space="preserve">aconseja explicar el contexto </w:t>
      </w:r>
      <w:r w:rsidR="00474B76" w:rsidRPr="000A2EB9">
        <w:rPr>
          <w:bCs/>
          <w:lang w:val="es-ES"/>
        </w:rPr>
        <w:t>respectiv</w:t>
      </w:r>
      <w:r w:rsidR="007A12C3" w:rsidRPr="000A2EB9">
        <w:rPr>
          <w:bCs/>
          <w:lang w:val="es-ES"/>
        </w:rPr>
        <w:t>o.</w:t>
      </w:r>
    </w:p>
    <w:p w14:paraId="57655832" w14:textId="486E5565" w:rsidR="00491EE8" w:rsidRPr="000A2EB9" w:rsidRDefault="007A12C3" w:rsidP="00B63D4D">
      <w:pPr>
        <w:spacing w:line="360" w:lineRule="auto"/>
        <w:ind w:firstLine="720"/>
        <w:jc w:val="both"/>
        <w:rPr>
          <w:bCs/>
          <w:lang w:val="es-ES"/>
        </w:rPr>
      </w:pPr>
      <w:r w:rsidRPr="000A2EB9">
        <w:rPr>
          <w:bCs/>
          <w:lang w:val="es-ES"/>
        </w:rPr>
        <w:t xml:space="preserve">En los años 90 regía en materia de reparación de accidentes de trabajo y enfermedades derivadas del empleo la ley 24.028 que rigió entre fines de 1991 y el 30/06/1996, </w:t>
      </w:r>
      <w:r w:rsidR="00474B76" w:rsidRPr="000A2EB9">
        <w:rPr>
          <w:bCs/>
          <w:lang w:val="es-ES"/>
        </w:rPr>
        <w:t xml:space="preserve">pues el 01/07/1996 </w:t>
      </w:r>
      <w:r w:rsidRPr="000A2EB9">
        <w:rPr>
          <w:bCs/>
          <w:lang w:val="es-ES"/>
        </w:rPr>
        <w:t xml:space="preserve">entró a regir el actual régimen de Riesgos del Trabajo </w:t>
      </w:r>
      <w:r w:rsidR="00474B76" w:rsidRPr="000A2EB9">
        <w:rPr>
          <w:bCs/>
          <w:lang w:val="es-ES"/>
        </w:rPr>
        <w:t>de</w:t>
      </w:r>
      <w:r w:rsidRPr="000A2EB9">
        <w:rPr>
          <w:bCs/>
          <w:lang w:val="es-ES"/>
        </w:rPr>
        <w:t xml:space="preserve"> la ley 24.557. </w:t>
      </w:r>
    </w:p>
    <w:p w14:paraId="1301D651" w14:textId="77777777" w:rsidR="00474B76" w:rsidRPr="000A2EB9" w:rsidRDefault="007A12C3" w:rsidP="00491EE8">
      <w:pPr>
        <w:spacing w:line="360" w:lineRule="auto"/>
        <w:ind w:firstLine="720"/>
        <w:jc w:val="both"/>
        <w:rPr>
          <w:bCs/>
          <w:lang w:val="es-ES"/>
        </w:rPr>
      </w:pPr>
      <w:r w:rsidRPr="000A2EB9">
        <w:rPr>
          <w:bCs/>
          <w:lang w:val="es-ES"/>
        </w:rPr>
        <w:t xml:space="preserve">Dicha ley 24.028, al igual que su antecesora la ley 9688, que rigiera desde 1915, </w:t>
      </w:r>
      <w:r w:rsidR="00491EE8" w:rsidRPr="000A2EB9">
        <w:rPr>
          <w:bCs/>
          <w:lang w:val="es-ES"/>
        </w:rPr>
        <w:t xml:space="preserve">en su art. 11 apartado 3, párrafo 3º </w:t>
      </w:r>
      <w:r w:rsidR="00474B76" w:rsidRPr="000A2EB9">
        <w:rPr>
          <w:bCs/>
          <w:lang w:val="es-ES"/>
        </w:rPr>
        <w:t xml:space="preserve">indicaba </w:t>
      </w:r>
      <w:r w:rsidR="00491EE8" w:rsidRPr="000A2EB9">
        <w:rPr>
          <w:bCs/>
          <w:lang w:val="es-ES"/>
        </w:rPr>
        <w:t>que los pagos que los empleadores o aseguradores hicieran directamente al trabajador en concepto de indemnización por incapacidad permanente ser</w:t>
      </w:r>
      <w:r w:rsidR="00474B76" w:rsidRPr="000A2EB9">
        <w:rPr>
          <w:bCs/>
          <w:lang w:val="es-ES"/>
        </w:rPr>
        <w:t>ían</w:t>
      </w:r>
      <w:r w:rsidR="00491EE8" w:rsidRPr="000A2EB9">
        <w:rPr>
          <w:bCs/>
          <w:lang w:val="es-ES"/>
        </w:rPr>
        <w:t xml:space="preserve"> ineficaces para cancelar las obligaciones indemnizatorias impuestas por los incisos b) y c) del artículo 8 de esta ley, ya que tales pagos debían ser efectuados, según el apartado 2 de dicho art. 11, mediante depósito a la orden del tribunal o de la autoridad administrativa del trabajo, según que haya reclamo judicial o acuerdo administrativo. </w:t>
      </w:r>
    </w:p>
    <w:p w14:paraId="241690D0" w14:textId="20A5C84C" w:rsidR="00491EE8" w:rsidRPr="000A2EB9" w:rsidRDefault="00491EE8" w:rsidP="00491EE8">
      <w:pPr>
        <w:spacing w:line="360" w:lineRule="auto"/>
        <w:ind w:firstLine="720"/>
        <w:jc w:val="both"/>
        <w:rPr>
          <w:bCs/>
          <w:lang w:val="es-ES"/>
        </w:rPr>
      </w:pPr>
      <w:r w:rsidRPr="000A2EB9">
        <w:rPr>
          <w:bCs/>
          <w:lang w:val="es-ES"/>
        </w:rPr>
        <w:t>Además, el art. 13 apartado 1 preveía que “</w:t>
      </w:r>
      <w:r w:rsidRPr="000A2EB9">
        <w:rPr>
          <w:bCs/>
          <w:i/>
          <w:iCs/>
          <w:lang w:val="es-ES"/>
        </w:rPr>
        <w:t>Será nula de nulidad absoluta y sin ningún valor toda convención de partes que suprima o reduzca los derechos reconocidos por esta ley</w:t>
      </w:r>
      <w:r w:rsidRPr="000A2EB9">
        <w:rPr>
          <w:bCs/>
          <w:lang w:val="es-ES"/>
        </w:rPr>
        <w:t>”, mientras el apartado 2 indicaba que “</w:t>
      </w:r>
      <w:r w:rsidRPr="000A2EB9">
        <w:rPr>
          <w:bCs/>
          <w:i/>
          <w:iCs/>
          <w:lang w:val="es-ES"/>
        </w:rPr>
        <w:t xml:space="preserve">Las indemnizaciones previstas en esta ley </w:t>
      </w:r>
      <w:r w:rsidRPr="000A2EB9">
        <w:rPr>
          <w:b/>
          <w:i/>
          <w:iCs/>
          <w:lang w:val="es-ES"/>
        </w:rPr>
        <w:t>no pueden ser objeto</w:t>
      </w:r>
      <w:r w:rsidRPr="000A2EB9">
        <w:rPr>
          <w:bCs/>
          <w:i/>
          <w:iCs/>
          <w:lang w:val="es-ES"/>
        </w:rPr>
        <w:t xml:space="preserve"> de embargo, </w:t>
      </w:r>
      <w:r w:rsidRPr="000A2EB9">
        <w:rPr>
          <w:b/>
          <w:i/>
          <w:iCs/>
          <w:lang w:val="es-ES"/>
        </w:rPr>
        <w:t>cesión o renuncia</w:t>
      </w:r>
      <w:r w:rsidRPr="000A2EB9">
        <w:rPr>
          <w:bCs/>
          <w:i/>
          <w:iCs/>
          <w:lang w:val="es-ES"/>
        </w:rPr>
        <w:t xml:space="preserve"> y gozan de todas las franquicias y privilegios acordados por las leyes civiles y comerciales a los créditos por alimentos</w:t>
      </w:r>
      <w:r w:rsidRPr="000A2EB9">
        <w:rPr>
          <w:bCs/>
          <w:lang w:val="es-ES"/>
        </w:rPr>
        <w:t>” (la negrita es mía), aunque el apartado 4 permitía acuerdos conciliatorios o transacciones pero sólo si cumplían los requisitos previstos en el artículo 15 de la Ley de Contrato de Trabajo (</w:t>
      </w:r>
      <w:r w:rsidRPr="000A2EB9">
        <w:rPr>
          <w:rStyle w:val="Refdenotaalpie"/>
          <w:bCs/>
          <w:lang w:val="es-ES"/>
        </w:rPr>
        <w:footnoteReference w:id="67"/>
      </w:r>
      <w:r w:rsidRPr="000A2EB9">
        <w:rPr>
          <w:bCs/>
          <w:lang w:val="es-ES"/>
        </w:rPr>
        <w:t xml:space="preserve">), añadiendo que, en caso de incapacidad permanente, será condición necesaria para la homologación del acuerdo la determinación del grado de incapacidad del trabajador mediante pericia o dictamen médico producido en sede judicial o administrativa. </w:t>
      </w:r>
    </w:p>
    <w:p w14:paraId="2627E191" w14:textId="104A052A" w:rsidR="00B63D4D" w:rsidRPr="000A2EB9" w:rsidRDefault="00491EE8" w:rsidP="00B63D4D">
      <w:pPr>
        <w:spacing w:line="360" w:lineRule="auto"/>
        <w:ind w:firstLine="720"/>
        <w:jc w:val="both"/>
        <w:rPr>
          <w:bCs/>
          <w:lang w:val="es-ES"/>
        </w:rPr>
      </w:pPr>
      <w:r w:rsidRPr="000A2EB9">
        <w:rPr>
          <w:bCs/>
          <w:lang w:val="es-ES"/>
        </w:rPr>
        <w:t>En la aludida década se hizo una práctica repetida en grandes empresas la celebración de acuerdos extintivos con trabajadores mayores</w:t>
      </w:r>
      <w:r w:rsidR="00474B76" w:rsidRPr="000A2EB9">
        <w:rPr>
          <w:bCs/>
          <w:lang w:val="es-ES"/>
        </w:rPr>
        <w:t>, muchas veces cercanos a la jubilación o en condiciones de obtener una jubilación por invalidez,</w:t>
      </w:r>
      <w:r w:rsidRPr="000A2EB9">
        <w:rPr>
          <w:bCs/>
          <w:lang w:val="es-ES"/>
        </w:rPr>
        <w:t xml:space="preserve"> y que, por lo general, presentaban varias patologías incapacitantes. </w:t>
      </w:r>
      <w:r w:rsidR="00590390" w:rsidRPr="000A2EB9">
        <w:rPr>
          <w:bCs/>
          <w:lang w:val="es-ES"/>
        </w:rPr>
        <w:t xml:space="preserve">Tales acuerdos extintivos se instrumentaban generalmente mediante un acta notarial, ya que así lo permite el art. 241 de la LCT, en las que </w:t>
      </w:r>
      <w:r w:rsidR="00474B76" w:rsidRPr="000A2EB9">
        <w:rPr>
          <w:bCs/>
          <w:lang w:val="es-ES"/>
        </w:rPr>
        <w:t>se documentaba la extinción del contrato de trabajo por mutuo acuerdo y</w:t>
      </w:r>
      <w:r w:rsidR="00A957BE" w:rsidRPr="000A2EB9">
        <w:rPr>
          <w:bCs/>
          <w:lang w:val="es-ES"/>
        </w:rPr>
        <w:t>, a la par,</w:t>
      </w:r>
      <w:r w:rsidR="00474B76" w:rsidRPr="000A2EB9">
        <w:rPr>
          <w:bCs/>
          <w:lang w:val="es-ES"/>
        </w:rPr>
        <w:t xml:space="preserve"> </w:t>
      </w:r>
      <w:r w:rsidR="00590390" w:rsidRPr="000A2EB9">
        <w:rPr>
          <w:bCs/>
          <w:lang w:val="es-ES"/>
        </w:rPr>
        <w:t>se les abonaban sumas imputada</w:t>
      </w:r>
      <w:r w:rsidR="00A957BE" w:rsidRPr="000A2EB9">
        <w:rPr>
          <w:bCs/>
          <w:lang w:val="es-ES"/>
        </w:rPr>
        <w:t>s</w:t>
      </w:r>
      <w:r w:rsidR="00590390" w:rsidRPr="000A2EB9">
        <w:rPr>
          <w:bCs/>
          <w:lang w:val="es-ES"/>
        </w:rPr>
        <w:t xml:space="preserve"> a “gratificación” y, además, solía insertarse una </w:t>
      </w:r>
      <w:r w:rsidR="00A957BE" w:rsidRPr="000A2EB9">
        <w:rPr>
          <w:bCs/>
          <w:lang w:val="es-ES"/>
        </w:rPr>
        <w:t>cláusula</w:t>
      </w:r>
      <w:r w:rsidR="00590390" w:rsidRPr="000A2EB9">
        <w:rPr>
          <w:bCs/>
          <w:lang w:val="es-ES"/>
        </w:rPr>
        <w:t xml:space="preserve"> genérica que permitía al ex empleador utilizar esas sumas para compensar eventuales créditos futuros que los trabajadores pudieran </w:t>
      </w:r>
      <w:r w:rsidR="00A957BE" w:rsidRPr="000A2EB9">
        <w:rPr>
          <w:bCs/>
          <w:lang w:val="es-ES"/>
        </w:rPr>
        <w:t>reclama</w:t>
      </w:r>
      <w:r w:rsidR="00590390" w:rsidRPr="000A2EB9">
        <w:rPr>
          <w:bCs/>
          <w:lang w:val="es-ES"/>
        </w:rPr>
        <w:t>r a su respecto.</w:t>
      </w:r>
    </w:p>
    <w:p w14:paraId="7D1E509C" w14:textId="2BA757A2" w:rsidR="00590390" w:rsidRPr="000A2EB9" w:rsidRDefault="00590390" w:rsidP="00B63D4D">
      <w:pPr>
        <w:spacing w:line="360" w:lineRule="auto"/>
        <w:ind w:firstLine="720"/>
        <w:jc w:val="both"/>
        <w:rPr>
          <w:bCs/>
          <w:lang w:val="es-ES"/>
        </w:rPr>
      </w:pPr>
      <w:r w:rsidRPr="000A2EB9">
        <w:rPr>
          <w:bCs/>
          <w:lang w:val="es-ES"/>
        </w:rPr>
        <w:t xml:space="preserve">Cuando los ex dependientes demandaban en procura de indemnización con </w:t>
      </w:r>
      <w:r w:rsidR="00A957BE" w:rsidRPr="000A2EB9">
        <w:rPr>
          <w:bCs/>
          <w:lang w:val="es-ES"/>
        </w:rPr>
        <w:t xml:space="preserve">base en </w:t>
      </w:r>
      <w:r w:rsidRPr="000A2EB9">
        <w:rPr>
          <w:bCs/>
          <w:lang w:val="es-ES"/>
        </w:rPr>
        <w:t xml:space="preserve">la ley 24.028 la incapacidad permanente que decían sufrir, esos acuerdos se </w:t>
      </w:r>
      <w:r w:rsidRPr="000A2EB9">
        <w:rPr>
          <w:bCs/>
          <w:lang w:val="es-ES"/>
        </w:rPr>
        <w:lastRenderedPageBreak/>
        <w:t>invocaban para, eventualmente, compensar las indemnizaciones adeudadas con aquellas sumas antes imputadas a gratificación.</w:t>
      </w:r>
    </w:p>
    <w:p w14:paraId="73452E71" w14:textId="58B8ED25" w:rsidR="00590390" w:rsidRPr="000A2EB9" w:rsidRDefault="00590390" w:rsidP="00590390">
      <w:pPr>
        <w:spacing w:line="360" w:lineRule="auto"/>
        <w:ind w:firstLine="720"/>
        <w:jc w:val="both"/>
        <w:rPr>
          <w:bCs/>
          <w:lang w:val="es-ES"/>
        </w:rPr>
      </w:pPr>
      <w:r w:rsidRPr="000A2EB9">
        <w:rPr>
          <w:bCs/>
          <w:lang w:val="es-ES"/>
        </w:rPr>
        <w:t xml:space="preserve">En el caso “Romagnoli” la Sala Primera de la Cámara de Apelación en lo Laboral de Rosario había desestimado la pretensión de la demandada de compensar las sumas otorgadas </w:t>
      </w:r>
      <w:r w:rsidR="00A957BE" w:rsidRPr="000A2EB9">
        <w:rPr>
          <w:bCs/>
          <w:lang w:val="es-ES"/>
        </w:rPr>
        <w:t xml:space="preserve">como “gratificación” </w:t>
      </w:r>
      <w:r w:rsidRPr="000A2EB9">
        <w:rPr>
          <w:bCs/>
          <w:lang w:val="es-ES"/>
        </w:rPr>
        <w:t xml:space="preserve">en el acuerdo extintivo con la indemnizaciones judicialmente declarada con fundamento en el art. 8 de la ley 24.028 y la Corte Suprema de Justicia de la Provincia de Santa Fe había revocado tal decisión. </w:t>
      </w:r>
    </w:p>
    <w:p w14:paraId="6C10BAEF" w14:textId="73A16BB6" w:rsidR="00590390" w:rsidRPr="000A2EB9" w:rsidRDefault="00227D2F" w:rsidP="00590390">
      <w:pPr>
        <w:spacing w:line="360" w:lineRule="auto"/>
        <w:ind w:firstLine="720"/>
        <w:jc w:val="both"/>
        <w:rPr>
          <w:bCs/>
          <w:lang w:val="es-ES"/>
        </w:rPr>
      </w:pPr>
      <w:r w:rsidRPr="000A2EB9">
        <w:rPr>
          <w:bCs/>
          <w:lang w:val="es-ES"/>
        </w:rPr>
        <w:t>Con el voto conjunto de los jueces Fayt, Highton y Maqueda el Más Alto Tribunal de la República Argentina dejó sin efecto la decisión del Tribunal provincial con mención de 2 importantes precedentes.</w:t>
      </w:r>
    </w:p>
    <w:p w14:paraId="17E10E98" w14:textId="37BC9220" w:rsidR="00227D2F" w:rsidRPr="000A2EB9" w:rsidRDefault="00227D2F" w:rsidP="00856850">
      <w:pPr>
        <w:spacing w:line="360" w:lineRule="auto"/>
        <w:ind w:firstLine="720"/>
        <w:jc w:val="both"/>
        <w:rPr>
          <w:bCs/>
          <w:lang w:val="es-ES"/>
        </w:rPr>
      </w:pPr>
      <w:r w:rsidRPr="000A2EB9">
        <w:rPr>
          <w:bCs/>
          <w:lang w:val="es-ES"/>
        </w:rPr>
        <w:t>Preliminarmente, dichos magistrados recordar</w:t>
      </w:r>
      <w:r w:rsidR="00856850" w:rsidRPr="000A2EB9">
        <w:rPr>
          <w:bCs/>
          <w:lang w:val="es-ES"/>
        </w:rPr>
        <w:t>on</w:t>
      </w:r>
      <w:r w:rsidRPr="000A2EB9">
        <w:rPr>
          <w:bCs/>
          <w:lang w:val="es-ES"/>
        </w:rPr>
        <w:t xml:space="preserve"> que en la causa “Ascua, Luis Ricardo c/ SOMISA”, sentenciada el 10/08/10, se destacó la raigambre constitucional del derecho a una adecuada reparación para los trabajadores, aun en regímenes de responsabilidad tarifada, víctimas de incapacidad permanente</w:t>
      </w:r>
      <w:r w:rsidR="00856850" w:rsidRPr="000A2EB9">
        <w:rPr>
          <w:bCs/>
          <w:lang w:val="es-ES"/>
        </w:rPr>
        <w:t>, estableciendo un auténtico estándar legislativo al señalar que “</w:t>
      </w:r>
      <w:r w:rsidR="00856850" w:rsidRPr="000A2EB9">
        <w:rPr>
          <w:bCs/>
          <w:i/>
          <w:iCs/>
          <w:lang w:val="es-ES"/>
        </w:rPr>
        <w:t>la modalidad indemnizatoria que escoja el legislador para cumplir con la protección constitucional del empleado frente a los daños derivados de accidentes o enfermedades laborales bajo un régimen tarifado…, no puede válidamente dejar de satisfacer, al menos, la pérdida de ingresos o de capacidad de ganancia de la víctima</w:t>
      </w:r>
      <w:r w:rsidR="00856850" w:rsidRPr="000A2EB9">
        <w:rPr>
          <w:bCs/>
          <w:lang w:val="es-ES"/>
        </w:rPr>
        <w:t xml:space="preserve">”. </w:t>
      </w:r>
    </w:p>
    <w:p w14:paraId="6C984CEB" w14:textId="3133E276" w:rsidR="00856850" w:rsidRPr="000A2EB9" w:rsidRDefault="00856850" w:rsidP="00856850">
      <w:pPr>
        <w:spacing w:line="360" w:lineRule="auto"/>
        <w:ind w:firstLine="720"/>
        <w:jc w:val="both"/>
        <w:rPr>
          <w:bCs/>
          <w:lang w:val="es-ES"/>
        </w:rPr>
      </w:pPr>
      <w:r w:rsidRPr="000A2EB9">
        <w:rPr>
          <w:bCs/>
          <w:lang w:val="es-ES"/>
        </w:rPr>
        <w:t xml:space="preserve">Asimismo, hicieron cita de lo resuelto en la </w:t>
      </w:r>
      <w:r w:rsidR="00A957BE" w:rsidRPr="000A2EB9">
        <w:rPr>
          <w:bCs/>
          <w:lang w:val="es-ES"/>
        </w:rPr>
        <w:t>precedentemente</w:t>
      </w:r>
      <w:r w:rsidRPr="000A2EB9">
        <w:rPr>
          <w:bCs/>
          <w:lang w:val="es-ES"/>
        </w:rPr>
        <w:t xml:space="preserve"> reseñada decisión en “Corrado” en la que se descalificó toda interpretación que admita la renuncia al goce de derechos del trabajador cuya fuente primaria fuera la propia Constitución Nacional, así corno la opon</w:t>
      </w:r>
      <w:r w:rsidR="00A957BE" w:rsidRPr="000A2EB9">
        <w:rPr>
          <w:bCs/>
          <w:lang w:val="es-ES"/>
        </w:rPr>
        <w:t>i</w:t>
      </w:r>
      <w:r w:rsidRPr="000A2EB9">
        <w:rPr>
          <w:bCs/>
          <w:lang w:val="es-ES"/>
        </w:rPr>
        <w:t xml:space="preserve">bilidad de acuerdos extintivos o </w:t>
      </w:r>
      <w:r w:rsidR="00A957BE" w:rsidRPr="000A2EB9">
        <w:rPr>
          <w:bCs/>
          <w:lang w:val="es-ES"/>
        </w:rPr>
        <w:t>estipulaciones</w:t>
      </w:r>
      <w:r w:rsidRPr="000A2EB9">
        <w:rPr>
          <w:bCs/>
          <w:lang w:val="es-ES"/>
        </w:rPr>
        <w:t xml:space="preserve"> rescisorias de índole eminentemente laboral que no incluyeran a los créditos motivo de litis o prescindie</w:t>
      </w:r>
      <w:r w:rsidR="00A957BE" w:rsidRPr="000A2EB9">
        <w:rPr>
          <w:bCs/>
          <w:lang w:val="es-ES"/>
        </w:rPr>
        <w:t>r</w:t>
      </w:r>
      <w:r w:rsidRPr="000A2EB9">
        <w:rPr>
          <w:bCs/>
          <w:lang w:val="es-ES"/>
        </w:rPr>
        <w:t>an del marco conceptual que cabe aplicar de conformidad con el derecho fundamental en juego.</w:t>
      </w:r>
    </w:p>
    <w:p w14:paraId="583EB036" w14:textId="7CB927B0" w:rsidR="00856850" w:rsidRPr="000A2EB9" w:rsidRDefault="00856850" w:rsidP="00856850">
      <w:pPr>
        <w:spacing w:line="360" w:lineRule="auto"/>
        <w:ind w:firstLine="720"/>
        <w:jc w:val="both"/>
        <w:rPr>
          <w:bCs/>
          <w:lang w:val="es-ES"/>
        </w:rPr>
      </w:pPr>
      <w:r w:rsidRPr="000A2EB9">
        <w:rPr>
          <w:bCs/>
          <w:lang w:val="es-ES"/>
        </w:rPr>
        <w:t>Por esas razones, dichos ministros decidieron dejar sin efecto lo resuelto en cuanto admitió la validez de un acuerdo extintivo sin examinar debidamente si lo estipulado importaba la renuncia al derecho cuyo amparo se requirió y que contaba con especial tutela constitucional</w:t>
      </w:r>
      <w:r w:rsidR="004C4C85" w:rsidRPr="000A2EB9">
        <w:rPr>
          <w:bCs/>
          <w:lang w:val="es-ES"/>
        </w:rPr>
        <w:t xml:space="preserve"> (</w:t>
      </w:r>
      <w:r w:rsidR="004C4C85" w:rsidRPr="000A2EB9">
        <w:rPr>
          <w:rStyle w:val="Refdenotaalpie"/>
          <w:bCs/>
          <w:lang w:val="es-ES"/>
        </w:rPr>
        <w:footnoteReference w:id="68"/>
      </w:r>
      <w:r w:rsidR="004C4C85" w:rsidRPr="000A2EB9">
        <w:rPr>
          <w:bCs/>
          <w:lang w:val="es-ES"/>
        </w:rPr>
        <w:t>)</w:t>
      </w:r>
      <w:r w:rsidRPr="000A2EB9">
        <w:rPr>
          <w:bCs/>
          <w:lang w:val="es-ES"/>
        </w:rPr>
        <w:t>.</w:t>
      </w:r>
    </w:p>
    <w:p w14:paraId="52226060" w14:textId="0139F497" w:rsidR="004C4C85" w:rsidRPr="000A2EB9" w:rsidRDefault="004C4C85" w:rsidP="004C4C85">
      <w:pPr>
        <w:spacing w:line="360" w:lineRule="auto"/>
        <w:ind w:firstLine="720"/>
        <w:jc w:val="both"/>
        <w:rPr>
          <w:bCs/>
          <w:lang w:val="es-ES"/>
        </w:rPr>
      </w:pPr>
      <w:r w:rsidRPr="000A2EB9">
        <w:rPr>
          <w:bCs/>
          <w:lang w:val="es-ES"/>
        </w:rPr>
        <w:lastRenderedPageBreak/>
        <w:t>Como puede advertirse de estos pronunciamientos, la Corte Suprema en su reciente y actual composición ha dejado muy clara la imposibilidad de producir la renuncia o la pérdida de derechos laborales, en el empleo público y en el privado, salvo, por cierto, los mecanismos previstos en las leyes para garantizar que los acuerdos conciliatorios y transaccionales no arrastren derechos ya adquiridos.</w:t>
      </w:r>
    </w:p>
    <w:p w14:paraId="3352BFA8" w14:textId="77777777" w:rsidR="00C177C4" w:rsidRPr="000A2EB9" w:rsidRDefault="00C177C4" w:rsidP="002F5665">
      <w:pPr>
        <w:spacing w:line="360" w:lineRule="auto"/>
        <w:jc w:val="both"/>
        <w:rPr>
          <w:b/>
          <w:lang w:val="es-ES"/>
        </w:rPr>
      </w:pPr>
    </w:p>
    <w:p w14:paraId="7E20013C" w14:textId="77777777" w:rsidR="00C177C4" w:rsidRPr="000A2EB9" w:rsidRDefault="00C177C4" w:rsidP="002F5665">
      <w:pPr>
        <w:spacing w:line="360" w:lineRule="auto"/>
        <w:jc w:val="both"/>
        <w:rPr>
          <w:b/>
          <w:lang w:val="es-ES"/>
        </w:rPr>
      </w:pPr>
    </w:p>
    <w:p w14:paraId="1DC1138F" w14:textId="77777777" w:rsidR="00C177C4" w:rsidRPr="000A2EB9" w:rsidRDefault="00C177C4" w:rsidP="002F5665">
      <w:pPr>
        <w:spacing w:line="360" w:lineRule="auto"/>
        <w:jc w:val="both"/>
        <w:rPr>
          <w:b/>
          <w:lang w:val="es-ES"/>
        </w:rPr>
      </w:pPr>
    </w:p>
    <w:p w14:paraId="3F2939C8" w14:textId="2CDC62A5" w:rsidR="002F5665" w:rsidRPr="000A2EB9" w:rsidRDefault="002F5665" w:rsidP="002F5665">
      <w:pPr>
        <w:spacing w:line="360" w:lineRule="auto"/>
        <w:jc w:val="both"/>
        <w:rPr>
          <w:bCs/>
          <w:lang w:val="es-ES"/>
        </w:rPr>
      </w:pPr>
      <w:r w:rsidRPr="000A2EB9">
        <w:rPr>
          <w:b/>
          <w:lang w:val="es-ES"/>
        </w:rPr>
        <w:t>IV. EPÍLOGO</w:t>
      </w:r>
      <w:r w:rsidRPr="000A2EB9">
        <w:rPr>
          <w:bCs/>
          <w:lang w:val="es-ES"/>
        </w:rPr>
        <w:t>.</w:t>
      </w:r>
    </w:p>
    <w:p w14:paraId="3D5F0A80" w14:textId="62E39755" w:rsidR="00A957BE" w:rsidRPr="000A2EB9" w:rsidRDefault="00A957BE" w:rsidP="002F5665">
      <w:pPr>
        <w:spacing w:line="360" w:lineRule="auto"/>
        <w:jc w:val="both"/>
        <w:rPr>
          <w:bCs/>
          <w:lang w:val="es-ES"/>
        </w:rPr>
      </w:pPr>
      <w:r w:rsidRPr="000A2EB9">
        <w:rPr>
          <w:bCs/>
          <w:lang w:val="es-ES"/>
        </w:rPr>
        <w:tab/>
        <w:t>Espero haber conseguido describir acabadamente la fuerte adscripción filosófica que la Corte Suprema ha evidenciado, desde los cambios de integración iniciados en el año 2004, según relaté al inicio, en materia de derechos nacidos del contrato de trabajo, sea este del ámbito privado o público.</w:t>
      </w:r>
    </w:p>
    <w:p w14:paraId="50318B31" w14:textId="06021B0C" w:rsidR="00A957BE" w:rsidRPr="000A2EB9" w:rsidRDefault="00A957BE" w:rsidP="002F5665">
      <w:pPr>
        <w:spacing w:line="360" w:lineRule="auto"/>
        <w:jc w:val="both"/>
        <w:rPr>
          <w:bCs/>
          <w:lang w:val="es-ES"/>
        </w:rPr>
      </w:pPr>
      <w:r w:rsidRPr="000A2EB9">
        <w:rPr>
          <w:bCs/>
          <w:lang w:val="es-ES"/>
        </w:rPr>
        <w:tab/>
        <w:t>Tengo la esperanza de haber dejado expuesta no solamente una serie de decisiones coherentes sino también, y sobre todo, una enfática línea de pensamiento social en materia de Derecho del Trabajo.</w:t>
      </w:r>
    </w:p>
    <w:p w14:paraId="19D45F19" w14:textId="7E3E6D29" w:rsidR="00A957BE" w:rsidRPr="000A2EB9" w:rsidRDefault="00A957BE" w:rsidP="002F5665">
      <w:pPr>
        <w:spacing w:line="360" w:lineRule="auto"/>
        <w:jc w:val="both"/>
        <w:rPr>
          <w:bCs/>
          <w:lang w:val="es-ES"/>
        </w:rPr>
      </w:pPr>
      <w:r w:rsidRPr="000A2EB9">
        <w:rPr>
          <w:bCs/>
          <w:lang w:val="es-ES"/>
        </w:rPr>
        <w:tab/>
        <w:t>Ciertamente he prescindido en esta reseña de otras sentencias del Máximo Tribunal argentino que evidencian ese Norte, prescindencia que sencillamente estuvo motivada en necesidades de extensión.</w:t>
      </w:r>
    </w:p>
    <w:p w14:paraId="3BEEB99A" w14:textId="291C6757" w:rsidR="000A2EB9" w:rsidRPr="000A2EB9" w:rsidRDefault="00A957BE" w:rsidP="002F5665">
      <w:pPr>
        <w:spacing w:line="360" w:lineRule="auto"/>
        <w:jc w:val="both"/>
        <w:rPr>
          <w:bCs/>
          <w:lang w:val="es-ES"/>
        </w:rPr>
      </w:pPr>
      <w:r w:rsidRPr="000A2EB9">
        <w:rPr>
          <w:bCs/>
          <w:lang w:val="es-ES"/>
        </w:rPr>
        <w:t>Ciudad Autónoma de Buenos Aires, abril 29 de 2.020.</w:t>
      </w:r>
    </w:p>
    <w:p w14:paraId="582B713C" w14:textId="77777777" w:rsidR="000A2EB9" w:rsidRPr="000A2EB9" w:rsidRDefault="000A2EB9" w:rsidP="000A2EB9">
      <w:pPr>
        <w:spacing w:line="360" w:lineRule="auto"/>
        <w:jc w:val="both"/>
        <w:rPr>
          <w:bCs/>
          <w:lang w:val="es-ES"/>
        </w:rPr>
      </w:pPr>
      <w:r w:rsidRPr="000A2EB9">
        <w:rPr>
          <w:bCs/>
          <w:lang w:val="es-ES"/>
        </w:rPr>
        <w:br w:type="page"/>
      </w:r>
      <w:r w:rsidRPr="000A2EB9">
        <w:rPr>
          <w:bCs/>
          <w:lang w:val="es-ES"/>
        </w:rPr>
        <w:lastRenderedPageBreak/>
        <w:t>LIBRO DE JURISPRUDENCIA DE LA CORTE SUPREMA</w:t>
      </w:r>
    </w:p>
    <w:p w14:paraId="15A3E397" w14:textId="77777777" w:rsidR="000A2EB9" w:rsidRPr="000A2EB9" w:rsidRDefault="000A2EB9" w:rsidP="000A2EB9">
      <w:pPr>
        <w:spacing w:line="360" w:lineRule="auto"/>
        <w:jc w:val="both"/>
        <w:rPr>
          <w:bCs/>
          <w:lang w:val="es-ES"/>
        </w:rPr>
      </w:pPr>
    </w:p>
    <w:p w14:paraId="4B5ED4B2" w14:textId="77777777" w:rsidR="000A2EB9" w:rsidRPr="000A2EB9" w:rsidRDefault="000A2EB9" w:rsidP="000A2EB9">
      <w:pPr>
        <w:spacing w:line="360" w:lineRule="auto"/>
        <w:jc w:val="both"/>
        <w:rPr>
          <w:bCs/>
          <w:lang w:val="es-ES"/>
        </w:rPr>
      </w:pPr>
      <w:r w:rsidRPr="000A2EB9">
        <w:rPr>
          <w:bCs/>
          <w:lang w:val="es-ES"/>
        </w:rPr>
        <w:t>ÍNDICE</w:t>
      </w:r>
    </w:p>
    <w:p w14:paraId="10129D63" w14:textId="77777777" w:rsidR="000A2EB9" w:rsidRPr="000A2EB9" w:rsidRDefault="000A2EB9" w:rsidP="000A2EB9">
      <w:pPr>
        <w:spacing w:line="360" w:lineRule="auto"/>
        <w:jc w:val="both"/>
        <w:rPr>
          <w:bCs/>
          <w:lang w:val="es-ES"/>
        </w:rPr>
      </w:pPr>
      <w:r w:rsidRPr="000A2EB9">
        <w:rPr>
          <w:bCs/>
          <w:lang w:val="es-ES"/>
        </w:rPr>
        <w:t xml:space="preserve"> INTRODUCCIÓN.</w:t>
      </w:r>
    </w:p>
    <w:p w14:paraId="352CA7F2" w14:textId="77777777" w:rsidR="000A2EB9" w:rsidRPr="000A2EB9" w:rsidRDefault="000A2EB9" w:rsidP="000A2EB9">
      <w:pPr>
        <w:spacing w:line="360" w:lineRule="auto"/>
        <w:jc w:val="both"/>
        <w:rPr>
          <w:bCs/>
          <w:lang w:val="es-ES"/>
        </w:rPr>
      </w:pPr>
      <w:r w:rsidRPr="000A2EB9">
        <w:rPr>
          <w:bCs/>
          <w:lang w:val="es-ES"/>
        </w:rPr>
        <w:t>1.  Descripción del sistema jurídico argentino.</w:t>
      </w:r>
    </w:p>
    <w:p w14:paraId="0D33C59C" w14:textId="77777777" w:rsidR="000A2EB9" w:rsidRPr="000A2EB9" w:rsidRDefault="000A2EB9" w:rsidP="000A2EB9">
      <w:pPr>
        <w:spacing w:line="360" w:lineRule="auto"/>
        <w:jc w:val="both"/>
        <w:rPr>
          <w:bCs/>
          <w:lang w:val="es-ES"/>
        </w:rPr>
      </w:pPr>
      <w:r w:rsidRPr="000A2EB9">
        <w:rPr>
          <w:bCs/>
          <w:lang w:val="es-ES"/>
        </w:rPr>
        <w:t>2.  Los temas a desarrollar.</w:t>
      </w:r>
    </w:p>
    <w:p w14:paraId="1630AB38" w14:textId="77777777" w:rsidR="000A2EB9" w:rsidRPr="000A2EB9" w:rsidRDefault="000A2EB9" w:rsidP="000A2EB9">
      <w:pPr>
        <w:spacing w:line="360" w:lineRule="auto"/>
        <w:jc w:val="both"/>
        <w:rPr>
          <w:bCs/>
          <w:lang w:val="es-ES"/>
        </w:rPr>
      </w:pPr>
      <w:r w:rsidRPr="000A2EB9">
        <w:rPr>
          <w:bCs/>
          <w:lang w:val="es-ES"/>
        </w:rPr>
        <w:t>PARTE I. Derecho Individual</w:t>
      </w:r>
    </w:p>
    <w:p w14:paraId="64254A00" w14:textId="77777777" w:rsidR="000A2EB9" w:rsidRPr="000A2EB9" w:rsidRDefault="000A2EB9" w:rsidP="000A2EB9">
      <w:pPr>
        <w:spacing w:line="360" w:lineRule="auto"/>
        <w:jc w:val="both"/>
        <w:rPr>
          <w:bCs/>
          <w:lang w:val="es-ES"/>
        </w:rPr>
      </w:pPr>
      <w:r w:rsidRPr="000A2EB9">
        <w:rPr>
          <w:bCs/>
          <w:lang w:val="es-ES"/>
        </w:rPr>
        <w:t>Capítulo 1. Empleo público.</w:t>
      </w:r>
    </w:p>
    <w:p w14:paraId="0594C6DB" w14:textId="77777777" w:rsidR="000A2EB9" w:rsidRPr="000A2EB9" w:rsidRDefault="000A2EB9" w:rsidP="000A2EB9">
      <w:pPr>
        <w:spacing w:line="360" w:lineRule="auto"/>
        <w:jc w:val="both"/>
        <w:rPr>
          <w:bCs/>
          <w:lang w:val="es-ES"/>
        </w:rPr>
      </w:pPr>
      <w:r w:rsidRPr="000A2EB9">
        <w:rPr>
          <w:bCs/>
          <w:lang w:val="es-ES"/>
        </w:rPr>
        <w:t>Capítulo 2. La configuración de la dependencia laboral y su vinculación con contratos civiles.</w:t>
      </w:r>
    </w:p>
    <w:p w14:paraId="379D85C4" w14:textId="77777777" w:rsidR="000A2EB9" w:rsidRPr="000A2EB9" w:rsidRDefault="000A2EB9" w:rsidP="000A2EB9">
      <w:pPr>
        <w:spacing w:line="360" w:lineRule="auto"/>
        <w:jc w:val="both"/>
        <w:rPr>
          <w:bCs/>
          <w:lang w:val="es-ES"/>
        </w:rPr>
      </w:pPr>
      <w:r w:rsidRPr="000A2EB9">
        <w:rPr>
          <w:bCs/>
          <w:lang w:val="es-ES"/>
        </w:rPr>
        <w:t>Capítulo 3. Concepto de remuneración</w:t>
      </w:r>
    </w:p>
    <w:p w14:paraId="3121919C" w14:textId="77777777" w:rsidR="000A2EB9" w:rsidRPr="000A2EB9" w:rsidRDefault="000A2EB9" w:rsidP="000A2EB9">
      <w:pPr>
        <w:spacing w:line="360" w:lineRule="auto"/>
        <w:jc w:val="both"/>
        <w:rPr>
          <w:bCs/>
          <w:lang w:val="es-ES"/>
        </w:rPr>
      </w:pPr>
      <w:r w:rsidRPr="000A2EB9">
        <w:rPr>
          <w:bCs/>
          <w:lang w:val="es-ES"/>
        </w:rPr>
        <w:t xml:space="preserve">Capítulo 4. Las reglas de la intangibilidad de las </w:t>
      </w:r>
      <w:proofErr w:type="spellStart"/>
      <w:r w:rsidRPr="000A2EB9">
        <w:rPr>
          <w:bCs/>
          <w:lang w:val="es-ES"/>
        </w:rPr>
        <w:t>remuneracio-nes</w:t>
      </w:r>
      <w:proofErr w:type="spellEnd"/>
      <w:r w:rsidRPr="000A2EB9">
        <w:rPr>
          <w:bCs/>
          <w:lang w:val="es-ES"/>
        </w:rPr>
        <w:t xml:space="preserve"> y la </w:t>
      </w:r>
      <w:proofErr w:type="spellStart"/>
      <w:r w:rsidRPr="000A2EB9">
        <w:rPr>
          <w:bCs/>
          <w:lang w:val="es-ES"/>
        </w:rPr>
        <w:t>irrenunciabilidad</w:t>
      </w:r>
      <w:proofErr w:type="spellEnd"/>
      <w:r w:rsidRPr="000A2EB9">
        <w:rPr>
          <w:bCs/>
          <w:lang w:val="es-ES"/>
        </w:rPr>
        <w:t xml:space="preserve"> de los créditos.</w:t>
      </w:r>
    </w:p>
    <w:p w14:paraId="6FDBEC9A" w14:textId="77777777" w:rsidR="000A2EB9" w:rsidRPr="000A2EB9" w:rsidRDefault="000A2EB9" w:rsidP="000A2EB9">
      <w:pPr>
        <w:spacing w:line="360" w:lineRule="auto"/>
        <w:jc w:val="both"/>
        <w:rPr>
          <w:bCs/>
          <w:lang w:val="es-ES"/>
        </w:rPr>
      </w:pPr>
      <w:r w:rsidRPr="000A2EB9">
        <w:rPr>
          <w:bCs/>
          <w:lang w:val="es-ES"/>
        </w:rPr>
        <w:t>Capítulo 5. La gratuidad en los reclamos de créditos laborales.</w:t>
      </w:r>
    </w:p>
    <w:p w14:paraId="6310D577" w14:textId="77777777" w:rsidR="000A2EB9" w:rsidRPr="000A2EB9" w:rsidRDefault="000A2EB9" w:rsidP="000A2EB9">
      <w:pPr>
        <w:spacing w:line="360" w:lineRule="auto"/>
        <w:jc w:val="both"/>
        <w:rPr>
          <w:bCs/>
          <w:lang w:val="es-ES"/>
        </w:rPr>
      </w:pPr>
      <w:r w:rsidRPr="000A2EB9">
        <w:rPr>
          <w:bCs/>
          <w:lang w:val="es-ES"/>
        </w:rPr>
        <w:t>Capítulo 6. La protección frente al despido arbitrario. La in-</w:t>
      </w:r>
      <w:proofErr w:type="spellStart"/>
      <w:r w:rsidRPr="000A2EB9">
        <w:rPr>
          <w:bCs/>
          <w:lang w:val="es-ES"/>
        </w:rPr>
        <w:t>demnización</w:t>
      </w:r>
      <w:proofErr w:type="spellEnd"/>
      <w:r w:rsidRPr="000A2EB9">
        <w:rPr>
          <w:bCs/>
          <w:lang w:val="es-ES"/>
        </w:rPr>
        <w:t xml:space="preserve"> del art. 245 de la LCT.</w:t>
      </w:r>
    </w:p>
    <w:p w14:paraId="17DA2A72" w14:textId="77777777" w:rsidR="000A2EB9" w:rsidRPr="000A2EB9" w:rsidRDefault="000A2EB9" w:rsidP="000A2EB9">
      <w:pPr>
        <w:spacing w:line="360" w:lineRule="auto"/>
        <w:jc w:val="both"/>
        <w:rPr>
          <w:bCs/>
          <w:lang w:val="es-ES"/>
        </w:rPr>
      </w:pPr>
      <w:r w:rsidRPr="000A2EB9">
        <w:rPr>
          <w:bCs/>
          <w:lang w:val="es-ES"/>
        </w:rPr>
        <w:t>Capítulo 7. La atribución de responsabilidad solidaria del art. 30 LCT.</w:t>
      </w:r>
    </w:p>
    <w:p w14:paraId="279B26B1" w14:textId="77777777" w:rsidR="000A2EB9" w:rsidRPr="000A2EB9" w:rsidRDefault="000A2EB9" w:rsidP="000A2EB9">
      <w:pPr>
        <w:spacing w:line="360" w:lineRule="auto"/>
        <w:jc w:val="both"/>
        <w:rPr>
          <w:bCs/>
          <w:lang w:val="es-ES"/>
        </w:rPr>
      </w:pPr>
      <w:r w:rsidRPr="000A2EB9">
        <w:rPr>
          <w:bCs/>
          <w:lang w:val="es-ES"/>
        </w:rPr>
        <w:t>Capítulo 8.  Discriminación en el empleo. Casos y alcances de la nulidad del despido con motivación discriminatoria.</w:t>
      </w:r>
    </w:p>
    <w:p w14:paraId="06280E86" w14:textId="77777777" w:rsidR="000A2EB9" w:rsidRPr="000A2EB9" w:rsidRDefault="000A2EB9" w:rsidP="000A2EB9">
      <w:pPr>
        <w:spacing w:line="360" w:lineRule="auto"/>
        <w:jc w:val="both"/>
        <w:rPr>
          <w:bCs/>
          <w:lang w:val="es-ES"/>
        </w:rPr>
      </w:pPr>
      <w:r w:rsidRPr="000A2EB9">
        <w:rPr>
          <w:bCs/>
          <w:lang w:val="es-ES"/>
        </w:rPr>
        <w:t>Capítulo 9. El impuesto a las ganancias y las indemnizaciones por extinción contractual.</w:t>
      </w:r>
    </w:p>
    <w:p w14:paraId="49C1E353" w14:textId="77777777" w:rsidR="000A2EB9" w:rsidRPr="000A2EB9" w:rsidRDefault="000A2EB9" w:rsidP="000A2EB9">
      <w:pPr>
        <w:spacing w:line="360" w:lineRule="auto"/>
        <w:jc w:val="both"/>
        <w:rPr>
          <w:bCs/>
          <w:lang w:val="es-ES"/>
        </w:rPr>
      </w:pPr>
      <w:r w:rsidRPr="000A2EB9">
        <w:rPr>
          <w:bCs/>
          <w:lang w:val="es-ES"/>
        </w:rPr>
        <w:t>Capítulo 10. Privilegios de los créditos laborales, insolvencia patronal y operatividad del Convenio 173 de OIT.</w:t>
      </w:r>
    </w:p>
    <w:p w14:paraId="2E3ACD48" w14:textId="77777777" w:rsidR="000A2EB9" w:rsidRPr="000A2EB9" w:rsidRDefault="000A2EB9" w:rsidP="000A2EB9">
      <w:pPr>
        <w:spacing w:line="360" w:lineRule="auto"/>
        <w:jc w:val="both"/>
        <w:rPr>
          <w:bCs/>
          <w:lang w:val="es-ES"/>
        </w:rPr>
      </w:pPr>
    </w:p>
    <w:p w14:paraId="20E20CBD" w14:textId="77777777" w:rsidR="000A2EB9" w:rsidRPr="000A2EB9" w:rsidRDefault="000A2EB9" w:rsidP="000A2EB9">
      <w:pPr>
        <w:spacing w:line="360" w:lineRule="auto"/>
        <w:jc w:val="both"/>
        <w:rPr>
          <w:bCs/>
          <w:lang w:val="es-ES"/>
        </w:rPr>
      </w:pPr>
    </w:p>
    <w:p w14:paraId="1B0F7060" w14:textId="77777777" w:rsidR="000A2EB9" w:rsidRPr="000A2EB9" w:rsidRDefault="000A2EB9" w:rsidP="000A2EB9">
      <w:pPr>
        <w:spacing w:line="360" w:lineRule="auto"/>
        <w:jc w:val="both"/>
        <w:rPr>
          <w:bCs/>
          <w:lang w:val="es-ES"/>
        </w:rPr>
      </w:pPr>
      <w:r w:rsidRPr="000A2EB9">
        <w:rPr>
          <w:bCs/>
          <w:lang w:val="es-ES"/>
        </w:rPr>
        <w:t xml:space="preserve">PARTE II. DERECHO COLECTIVO. </w:t>
      </w:r>
    </w:p>
    <w:p w14:paraId="3A56D1D1" w14:textId="77777777" w:rsidR="000A2EB9" w:rsidRPr="000A2EB9" w:rsidRDefault="000A2EB9" w:rsidP="000A2EB9">
      <w:pPr>
        <w:spacing w:line="360" w:lineRule="auto"/>
        <w:jc w:val="both"/>
        <w:rPr>
          <w:bCs/>
          <w:lang w:val="es-ES"/>
        </w:rPr>
      </w:pPr>
      <w:r w:rsidRPr="000A2EB9">
        <w:rPr>
          <w:bCs/>
          <w:lang w:val="es-ES"/>
        </w:rPr>
        <w:t>Capítulo 1. Libertad sindical.</w:t>
      </w:r>
    </w:p>
    <w:p w14:paraId="2FBC0895" w14:textId="77777777" w:rsidR="000A2EB9" w:rsidRPr="000A2EB9" w:rsidRDefault="000A2EB9" w:rsidP="000A2EB9">
      <w:pPr>
        <w:spacing w:line="360" w:lineRule="auto"/>
        <w:jc w:val="both"/>
        <w:rPr>
          <w:bCs/>
          <w:lang w:val="es-ES"/>
        </w:rPr>
      </w:pPr>
      <w:r w:rsidRPr="000A2EB9">
        <w:rPr>
          <w:bCs/>
          <w:lang w:val="es-ES"/>
        </w:rPr>
        <w:t>Capítulo 2. Titularidad del derecho de huelga.</w:t>
      </w:r>
    </w:p>
    <w:p w14:paraId="5BA204CF" w14:textId="77777777" w:rsidR="000A2EB9" w:rsidRPr="000A2EB9" w:rsidRDefault="000A2EB9" w:rsidP="000A2EB9">
      <w:pPr>
        <w:spacing w:line="360" w:lineRule="auto"/>
        <w:jc w:val="both"/>
        <w:rPr>
          <w:bCs/>
          <w:lang w:val="es-ES"/>
        </w:rPr>
      </w:pPr>
      <w:r w:rsidRPr="000A2EB9">
        <w:rPr>
          <w:bCs/>
          <w:lang w:val="es-ES"/>
        </w:rPr>
        <w:t>Capítulo 3. Encuadramientos colectivos.</w:t>
      </w:r>
    </w:p>
    <w:p w14:paraId="719F5A61" w14:textId="77777777" w:rsidR="000A2EB9" w:rsidRPr="000A2EB9" w:rsidRDefault="000A2EB9" w:rsidP="000A2EB9">
      <w:pPr>
        <w:spacing w:line="360" w:lineRule="auto"/>
        <w:jc w:val="both"/>
        <w:rPr>
          <w:bCs/>
          <w:lang w:val="es-ES"/>
        </w:rPr>
      </w:pPr>
      <w:r w:rsidRPr="000A2EB9">
        <w:rPr>
          <w:bCs/>
          <w:lang w:val="es-ES"/>
        </w:rPr>
        <w:t>Capítulo 4. Encuadramientos colectivos</w:t>
      </w:r>
    </w:p>
    <w:p w14:paraId="095B2BA2" w14:textId="77777777" w:rsidR="000A2EB9" w:rsidRPr="000A2EB9" w:rsidRDefault="000A2EB9" w:rsidP="000A2EB9">
      <w:pPr>
        <w:spacing w:line="360" w:lineRule="auto"/>
        <w:jc w:val="both"/>
        <w:rPr>
          <w:bCs/>
          <w:lang w:val="es-ES"/>
        </w:rPr>
      </w:pPr>
    </w:p>
    <w:p w14:paraId="09A5AB04" w14:textId="77777777" w:rsidR="000A2EB9" w:rsidRPr="000A2EB9" w:rsidRDefault="000A2EB9" w:rsidP="000A2EB9">
      <w:pPr>
        <w:spacing w:line="360" w:lineRule="auto"/>
        <w:jc w:val="both"/>
        <w:rPr>
          <w:bCs/>
          <w:lang w:val="es-ES"/>
        </w:rPr>
      </w:pPr>
      <w:r w:rsidRPr="000A2EB9">
        <w:rPr>
          <w:bCs/>
          <w:lang w:val="es-ES"/>
        </w:rPr>
        <w:t>Parte III. TEMAS GENERALES.</w:t>
      </w:r>
    </w:p>
    <w:p w14:paraId="339E5EAB" w14:textId="77777777" w:rsidR="000A2EB9" w:rsidRPr="000A2EB9" w:rsidRDefault="000A2EB9" w:rsidP="000A2EB9">
      <w:pPr>
        <w:spacing w:line="360" w:lineRule="auto"/>
        <w:jc w:val="both"/>
        <w:rPr>
          <w:bCs/>
          <w:lang w:val="es-ES"/>
        </w:rPr>
      </w:pPr>
      <w:r w:rsidRPr="000A2EB9">
        <w:rPr>
          <w:bCs/>
          <w:lang w:val="es-ES"/>
        </w:rPr>
        <w:t>Capítulo 1. Inspección del Trabajo.</w:t>
      </w:r>
    </w:p>
    <w:p w14:paraId="5DA29206" w14:textId="77777777" w:rsidR="000A2EB9" w:rsidRPr="000A2EB9" w:rsidRDefault="000A2EB9" w:rsidP="000A2EB9">
      <w:pPr>
        <w:spacing w:line="360" w:lineRule="auto"/>
        <w:jc w:val="both"/>
        <w:rPr>
          <w:bCs/>
          <w:lang w:val="es-ES"/>
        </w:rPr>
      </w:pPr>
      <w:r w:rsidRPr="000A2EB9">
        <w:rPr>
          <w:bCs/>
          <w:lang w:val="es-ES"/>
        </w:rPr>
        <w:t>Capítulo 2. Programas de propiedad participada.</w:t>
      </w:r>
    </w:p>
    <w:p w14:paraId="40C8CA18" w14:textId="77777777" w:rsidR="000A2EB9" w:rsidRPr="000A2EB9" w:rsidRDefault="000A2EB9" w:rsidP="000A2EB9">
      <w:pPr>
        <w:spacing w:line="360" w:lineRule="auto"/>
        <w:jc w:val="both"/>
        <w:rPr>
          <w:bCs/>
          <w:lang w:val="es-ES"/>
        </w:rPr>
      </w:pPr>
      <w:r w:rsidRPr="000A2EB9">
        <w:rPr>
          <w:bCs/>
          <w:lang w:val="es-ES"/>
        </w:rPr>
        <w:t>Capítulo 3. La prohibición de indexar los créditos.</w:t>
      </w:r>
    </w:p>
    <w:p w14:paraId="71FDD35B" w14:textId="77777777" w:rsidR="000A2EB9" w:rsidRPr="000A2EB9" w:rsidRDefault="000A2EB9" w:rsidP="000A2EB9">
      <w:pPr>
        <w:spacing w:line="360" w:lineRule="auto"/>
        <w:jc w:val="both"/>
        <w:rPr>
          <w:bCs/>
          <w:lang w:val="es-ES"/>
        </w:rPr>
      </w:pPr>
    </w:p>
    <w:p w14:paraId="31A245B1" w14:textId="77777777" w:rsidR="000A2EB9" w:rsidRPr="000A2EB9" w:rsidRDefault="000A2EB9" w:rsidP="000A2EB9">
      <w:pPr>
        <w:spacing w:line="360" w:lineRule="auto"/>
        <w:jc w:val="both"/>
        <w:rPr>
          <w:bCs/>
          <w:lang w:val="es-ES"/>
        </w:rPr>
      </w:pPr>
      <w:r w:rsidRPr="000A2EB9">
        <w:rPr>
          <w:bCs/>
          <w:lang w:val="es-ES"/>
        </w:rPr>
        <w:t xml:space="preserve">PARTE IV.  </w:t>
      </w:r>
      <w:r w:rsidRPr="000A2EB9">
        <w:rPr>
          <w:bCs/>
          <w:lang w:val="es-ES"/>
        </w:rPr>
        <w:tab/>
        <w:t>INFORTUNIOS DEL TRABAJO.</w:t>
      </w:r>
    </w:p>
    <w:p w14:paraId="3958660D" w14:textId="77777777" w:rsidR="000A2EB9" w:rsidRPr="000A2EB9" w:rsidRDefault="000A2EB9" w:rsidP="000A2EB9">
      <w:pPr>
        <w:spacing w:line="360" w:lineRule="auto"/>
        <w:jc w:val="both"/>
        <w:rPr>
          <w:bCs/>
          <w:lang w:val="es-ES"/>
        </w:rPr>
      </w:pPr>
      <w:r w:rsidRPr="000A2EB9">
        <w:rPr>
          <w:bCs/>
          <w:lang w:val="es-ES"/>
        </w:rPr>
        <w:t>Capítulo 1.   Inconstitucionalidad art. 39 apartado 1.</w:t>
      </w:r>
    </w:p>
    <w:p w14:paraId="0F4FD6E5" w14:textId="77777777" w:rsidR="000A2EB9" w:rsidRPr="000A2EB9" w:rsidRDefault="000A2EB9" w:rsidP="000A2EB9">
      <w:pPr>
        <w:spacing w:line="360" w:lineRule="auto"/>
        <w:jc w:val="both"/>
        <w:rPr>
          <w:bCs/>
          <w:lang w:val="es-ES"/>
        </w:rPr>
      </w:pPr>
      <w:r w:rsidRPr="000A2EB9">
        <w:rPr>
          <w:bCs/>
          <w:lang w:val="es-ES"/>
        </w:rPr>
        <w:t>Acápite 1. Introducción</w:t>
      </w:r>
    </w:p>
    <w:p w14:paraId="04F3BE53" w14:textId="77777777" w:rsidR="000A2EB9" w:rsidRPr="000A2EB9" w:rsidRDefault="000A2EB9" w:rsidP="000A2EB9">
      <w:pPr>
        <w:spacing w:line="360" w:lineRule="auto"/>
        <w:jc w:val="both"/>
        <w:rPr>
          <w:bCs/>
          <w:lang w:val="es-ES"/>
        </w:rPr>
      </w:pPr>
      <w:r w:rsidRPr="000A2EB9">
        <w:rPr>
          <w:bCs/>
          <w:lang w:val="es-ES"/>
        </w:rPr>
        <w:t>Acápite 2. El caso “Gorosito”.</w:t>
      </w:r>
    </w:p>
    <w:p w14:paraId="15D9334C" w14:textId="77777777" w:rsidR="000A2EB9" w:rsidRPr="000A2EB9" w:rsidRDefault="000A2EB9" w:rsidP="000A2EB9">
      <w:pPr>
        <w:spacing w:line="360" w:lineRule="auto"/>
        <w:jc w:val="both"/>
        <w:rPr>
          <w:bCs/>
          <w:lang w:val="es-ES"/>
        </w:rPr>
      </w:pPr>
      <w:r w:rsidRPr="000A2EB9">
        <w:rPr>
          <w:bCs/>
          <w:lang w:val="es-ES"/>
        </w:rPr>
        <w:t>Acápite 3. El precedente “Aquino” y su ratificación en “Díaz”.</w:t>
      </w:r>
    </w:p>
    <w:p w14:paraId="4891A67A" w14:textId="77777777" w:rsidR="000A2EB9" w:rsidRPr="000A2EB9" w:rsidRDefault="000A2EB9" w:rsidP="000A2EB9">
      <w:pPr>
        <w:spacing w:line="360" w:lineRule="auto"/>
        <w:jc w:val="both"/>
        <w:rPr>
          <w:bCs/>
          <w:lang w:val="es-ES"/>
        </w:rPr>
      </w:pPr>
      <w:r w:rsidRPr="000A2EB9">
        <w:rPr>
          <w:bCs/>
          <w:lang w:val="es-ES"/>
        </w:rPr>
        <w:t>3.1.</w:t>
      </w:r>
      <w:r w:rsidRPr="000A2EB9">
        <w:rPr>
          <w:bCs/>
          <w:lang w:val="es-ES"/>
        </w:rPr>
        <w:tab/>
        <w:t xml:space="preserve"> “Aquino”.</w:t>
      </w:r>
    </w:p>
    <w:p w14:paraId="16AC752F" w14:textId="77777777" w:rsidR="000A2EB9" w:rsidRPr="000A2EB9" w:rsidRDefault="000A2EB9" w:rsidP="000A2EB9">
      <w:pPr>
        <w:spacing w:line="360" w:lineRule="auto"/>
        <w:jc w:val="both"/>
        <w:rPr>
          <w:bCs/>
          <w:lang w:val="es-ES"/>
        </w:rPr>
      </w:pPr>
      <w:r w:rsidRPr="000A2EB9">
        <w:rPr>
          <w:bCs/>
          <w:lang w:val="es-ES"/>
        </w:rPr>
        <w:lastRenderedPageBreak/>
        <w:t>3 .2.</w:t>
      </w:r>
      <w:r w:rsidRPr="000A2EB9">
        <w:rPr>
          <w:bCs/>
          <w:lang w:val="es-ES"/>
        </w:rPr>
        <w:tab/>
        <w:t>“Díaz”.</w:t>
      </w:r>
    </w:p>
    <w:p w14:paraId="71183DE6" w14:textId="77777777" w:rsidR="000A2EB9" w:rsidRPr="000A2EB9" w:rsidRDefault="000A2EB9" w:rsidP="000A2EB9">
      <w:pPr>
        <w:spacing w:line="360" w:lineRule="auto"/>
        <w:jc w:val="both"/>
        <w:rPr>
          <w:bCs/>
          <w:lang w:val="es-ES"/>
        </w:rPr>
      </w:pPr>
      <w:r w:rsidRPr="000A2EB9">
        <w:rPr>
          <w:bCs/>
          <w:lang w:val="es-ES"/>
        </w:rPr>
        <w:t xml:space="preserve">Capítulo 2. Inconstitucionalidad del método de pago con </w:t>
      </w:r>
      <w:proofErr w:type="spellStart"/>
      <w:r w:rsidRPr="000A2EB9">
        <w:rPr>
          <w:bCs/>
          <w:lang w:val="es-ES"/>
        </w:rPr>
        <w:t>ren</w:t>
      </w:r>
      <w:proofErr w:type="spellEnd"/>
      <w:r w:rsidRPr="000A2EB9">
        <w:rPr>
          <w:bCs/>
          <w:lang w:val="es-ES"/>
        </w:rPr>
        <w:t>-tas.</w:t>
      </w:r>
    </w:p>
    <w:p w14:paraId="4A0B98BD" w14:textId="77777777" w:rsidR="000A2EB9" w:rsidRPr="000A2EB9" w:rsidRDefault="000A2EB9" w:rsidP="000A2EB9">
      <w:pPr>
        <w:spacing w:line="360" w:lineRule="auto"/>
        <w:jc w:val="both"/>
        <w:rPr>
          <w:bCs/>
          <w:lang w:val="es-ES"/>
        </w:rPr>
      </w:pPr>
      <w:r w:rsidRPr="000A2EB9">
        <w:rPr>
          <w:bCs/>
          <w:lang w:val="es-ES"/>
        </w:rPr>
        <w:t>1. El caso “Milone”</w:t>
      </w:r>
    </w:p>
    <w:p w14:paraId="39EF71FD" w14:textId="77777777" w:rsidR="000A2EB9" w:rsidRPr="000A2EB9" w:rsidRDefault="000A2EB9" w:rsidP="000A2EB9">
      <w:pPr>
        <w:spacing w:line="360" w:lineRule="auto"/>
        <w:jc w:val="both"/>
        <w:rPr>
          <w:bCs/>
          <w:lang w:val="es-ES"/>
        </w:rPr>
      </w:pPr>
      <w:r w:rsidRPr="000A2EB9">
        <w:rPr>
          <w:bCs/>
          <w:lang w:val="es-ES"/>
        </w:rPr>
        <w:t>2. El caso “Torales”</w:t>
      </w:r>
    </w:p>
    <w:p w14:paraId="31F4BCE5" w14:textId="77777777" w:rsidR="000A2EB9" w:rsidRPr="000A2EB9" w:rsidRDefault="000A2EB9" w:rsidP="000A2EB9">
      <w:pPr>
        <w:spacing w:line="360" w:lineRule="auto"/>
        <w:jc w:val="both"/>
        <w:rPr>
          <w:bCs/>
          <w:lang w:val="es-ES"/>
        </w:rPr>
      </w:pPr>
      <w:r w:rsidRPr="000A2EB9">
        <w:rPr>
          <w:bCs/>
          <w:lang w:val="es-ES"/>
        </w:rPr>
        <w:t>3. La causa “Suarez Guimbard”</w:t>
      </w:r>
    </w:p>
    <w:p w14:paraId="14FF69B2" w14:textId="77777777" w:rsidR="000A2EB9" w:rsidRPr="000A2EB9" w:rsidRDefault="000A2EB9" w:rsidP="000A2EB9">
      <w:pPr>
        <w:spacing w:line="360" w:lineRule="auto"/>
        <w:jc w:val="both"/>
        <w:rPr>
          <w:bCs/>
          <w:lang w:val="es-ES"/>
        </w:rPr>
      </w:pPr>
      <w:r w:rsidRPr="000A2EB9">
        <w:rPr>
          <w:bCs/>
          <w:lang w:val="es-ES"/>
        </w:rPr>
        <w:t>Capítulo 3. La inexistencia de una opción renunciativa por aplicación de la teoría de los actos propios y la posibilidad de acumulación de ambas vías de reclamación</w:t>
      </w:r>
    </w:p>
    <w:p w14:paraId="2586969A" w14:textId="77777777" w:rsidR="000A2EB9" w:rsidRPr="000A2EB9" w:rsidRDefault="000A2EB9" w:rsidP="000A2EB9">
      <w:pPr>
        <w:spacing w:line="360" w:lineRule="auto"/>
        <w:jc w:val="both"/>
        <w:rPr>
          <w:bCs/>
          <w:lang w:val="es-ES"/>
        </w:rPr>
      </w:pPr>
      <w:r w:rsidRPr="000A2EB9">
        <w:rPr>
          <w:bCs/>
          <w:lang w:val="es-ES"/>
        </w:rPr>
        <w:t>1. Los casos “Cachambi y Llosco”.</w:t>
      </w:r>
    </w:p>
    <w:p w14:paraId="374C499E" w14:textId="77777777" w:rsidR="000A2EB9" w:rsidRPr="000A2EB9" w:rsidRDefault="000A2EB9" w:rsidP="000A2EB9">
      <w:pPr>
        <w:spacing w:line="360" w:lineRule="auto"/>
        <w:jc w:val="both"/>
        <w:rPr>
          <w:bCs/>
          <w:lang w:val="es-ES"/>
        </w:rPr>
      </w:pPr>
      <w:r w:rsidRPr="000A2EB9">
        <w:rPr>
          <w:bCs/>
          <w:lang w:val="es-ES"/>
        </w:rPr>
        <w:t>2. La causa “Vallejos”.</w:t>
      </w:r>
    </w:p>
    <w:p w14:paraId="04B10AAB" w14:textId="77777777" w:rsidR="000A2EB9" w:rsidRPr="000A2EB9" w:rsidRDefault="000A2EB9" w:rsidP="000A2EB9">
      <w:pPr>
        <w:spacing w:line="360" w:lineRule="auto"/>
        <w:jc w:val="both"/>
        <w:rPr>
          <w:bCs/>
          <w:lang w:val="es-ES"/>
        </w:rPr>
      </w:pPr>
      <w:r w:rsidRPr="000A2EB9">
        <w:rPr>
          <w:bCs/>
          <w:lang w:val="es-ES"/>
        </w:rPr>
        <w:t>Capítulo 4. La procedencia de la responsabilidad contractual de la ART cuando se condena al empleador en base al derecho civil.</w:t>
      </w:r>
    </w:p>
    <w:p w14:paraId="16F2F48D" w14:textId="77777777" w:rsidR="000A2EB9" w:rsidRPr="000A2EB9" w:rsidRDefault="000A2EB9" w:rsidP="000A2EB9">
      <w:pPr>
        <w:spacing w:line="360" w:lineRule="auto"/>
        <w:jc w:val="both"/>
        <w:rPr>
          <w:bCs/>
          <w:lang w:val="es-ES"/>
        </w:rPr>
      </w:pPr>
      <w:r w:rsidRPr="000A2EB9">
        <w:rPr>
          <w:bCs/>
          <w:lang w:val="es-ES"/>
        </w:rPr>
        <w:t>Los casos “Cura”, “Krull” y “Roldán”.</w:t>
      </w:r>
    </w:p>
    <w:p w14:paraId="019C8212" w14:textId="77777777" w:rsidR="000A2EB9" w:rsidRPr="000A2EB9" w:rsidRDefault="000A2EB9" w:rsidP="000A2EB9">
      <w:pPr>
        <w:spacing w:line="360" w:lineRule="auto"/>
        <w:jc w:val="both"/>
        <w:rPr>
          <w:bCs/>
          <w:lang w:val="es-ES"/>
        </w:rPr>
      </w:pPr>
      <w:r w:rsidRPr="000A2EB9">
        <w:rPr>
          <w:bCs/>
          <w:lang w:val="es-ES"/>
        </w:rPr>
        <w:t xml:space="preserve">Capítulo 5. Reconocimiento del derecho a la reparación </w:t>
      </w:r>
      <w:proofErr w:type="spellStart"/>
      <w:r w:rsidRPr="000A2EB9">
        <w:rPr>
          <w:bCs/>
          <w:lang w:val="es-ES"/>
        </w:rPr>
        <w:t>inte-gral</w:t>
      </w:r>
      <w:proofErr w:type="spellEnd"/>
      <w:r w:rsidRPr="000A2EB9">
        <w:rPr>
          <w:bCs/>
          <w:lang w:val="es-ES"/>
        </w:rPr>
        <w:t xml:space="preserve"> en base al derecho civil por las  enfermedades no </w:t>
      </w:r>
      <w:proofErr w:type="spellStart"/>
      <w:r w:rsidRPr="000A2EB9">
        <w:rPr>
          <w:bCs/>
          <w:lang w:val="es-ES"/>
        </w:rPr>
        <w:t>previs</w:t>
      </w:r>
      <w:proofErr w:type="spellEnd"/>
      <w:r w:rsidRPr="000A2EB9">
        <w:rPr>
          <w:bCs/>
          <w:lang w:val="es-ES"/>
        </w:rPr>
        <w:t>-tas en el  listado de la LRT.</w:t>
      </w:r>
    </w:p>
    <w:p w14:paraId="6C368C88" w14:textId="77777777" w:rsidR="000A2EB9" w:rsidRPr="000A2EB9" w:rsidRDefault="000A2EB9" w:rsidP="000A2EB9">
      <w:pPr>
        <w:spacing w:line="360" w:lineRule="auto"/>
        <w:jc w:val="both"/>
        <w:rPr>
          <w:bCs/>
          <w:lang w:val="es-ES"/>
        </w:rPr>
      </w:pPr>
      <w:r w:rsidRPr="000A2EB9">
        <w:rPr>
          <w:bCs/>
          <w:lang w:val="es-ES"/>
        </w:rPr>
        <w:t>1. La causa “Silva”.</w:t>
      </w:r>
    </w:p>
    <w:p w14:paraId="03BA2CC1" w14:textId="77777777" w:rsidR="000A2EB9" w:rsidRPr="000A2EB9" w:rsidRDefault="000A2EB9" w:rsidP="000A2EB9">
      <w:pPr>
        <w:spacing w:line="360" w:lineRule="auto"/>
        <w:jc w:val="both"/>
        <w:rPr>
          <w:bCs/>
          <w:lang w:val="es-ES"/>
        </w:rPr>
      </w:pPr>
      <w:r w:rsidRPr="000A2EB9">
        <w:rPr>
          <w:bCs/>
          <w:lang w:val="es-ES"/>
        </w:rPr>
        <w:t>2. La causa “Moreno”.</w:t>
      </w:r>
    </w:p>
    <w:p w14:paraId="1853A3FC" w14:textId="77777777" w:rsidR="000A2EB9" w:rsidRPr="000A2EB9" w:rsidRDefault="000A2EB9" w:rsidP="000A2EB9">
      <w:pPr>
        <w:spacing w:line="360" w:lineRule="auto"/>
        <w:jc w:val="both"/>
        <w:rPr>
          <w:bCs/>
          <w:lang w:val="es-ES"/>
        </w:rPr>
      </w:pPr>
      <w:r w:rsidRPr="000A2EB9">
        <w:rPr>
          <w:bCs/>
          <w:lang w:val="es-ES"/>
        </w:rPr>
        <w:t>Capítulo 6. La eventual y posible responsabilidad civil de las Aseguradoras de Riesgos del Trabajo.</w:t>
      </w:r>
    </w:p>
    <w:p w14:paraId="5BC6B30B" w14:textId="77777777" w:rsidR="000A2EB9" w:rsidRPr="000A2EB9" w:rsidRDefault="000A2EB9" w:rsidP="000A2EB9">
      <w:pPr>
        <w:spacing w:line="360" w:lineRule="auto"/>
        <w:jc w:val="both"/>
        <w:rPr>
          <w:bCs/>
          <w:lang w:val="es-ES"/>
        </w:rPr>
      </w:pPr>
      <w:r w:rsidRPr="000A2EB9">
        <w:rPr>
          <w:bCs/>
          <w:lang w:val="es-ES"/>
        </w:rPr>
        <w:t>1. El caso “Rivero”.</w:t>
      </w:r>
    </w:p>
    <w:p w14:paraId="70CF852F" w14:textId="77777777" w:rsidR="000A2EB9" w:rsidRPr="000A2EB9" w:rsidRDefault="000A2EB9" w:rsidP="000A2EB9">
      <w:pPr>
        <w:spacing w:line="360" w:lineRule="auto"/>
        <w:jc w:val="both"/>
        <w:rPr>
          <w:bCs/>
          <w:lang w:val="es-ES"/>
        </w:rPr>
      </w:pPr>
      <w:r w:rsidRPr="000A2EB9">
        <w:rPr>
          <w:bCs/>
          <w:lang w:val="es-ES"/>
        </w:rPr>
        <w:t>2. Las causas “Soria” y “Galván”</w:t>
      </w:r>
    </w:p>
    <w:p w14:paraId="64355442" w14:textId="77777777" w:rsidR="000A2EB9" w:rsidRPr="000A2EB9" w:rsidRDefault="000A2EB9" w:rsidP="000A2EB9">
      <w:pPr>
        <w:spacing w:line="360" w:lineRule="auto"/>
        <w:jc w:val="both"/>
        <w:rPr>
          <w:bCs/>
          <w:lang w:val="es-ES"/>
        </w:rPr>
      </w:pPr>
      <w:r w:rsidRPr="000A2EB9">
        <w:rPr>
          <w:bCs/>
          <w:lang w:val="es-ES"/>
        </w:rPr>
        <w:t>2.1. “Soria”</w:t>
      </w:r>
    </w:p>
    <w:p w14:paraId="6CEE4F4D" w14:textId="77777777" w:rsidR="000A2EB9" w:rsidRPr="000A2EB9" w:rsidRDefault="000A2EB9" w:rsidP="000A2EB9">
      <w:pPr>
        <w:spacing w:line="360" w:lineRule="auto"/>
        <w:jc w:val="both"/>
        <w:rPr>
          <w:bCs/>
          <w:lang w:val="es-ES"/>
        </w:rPr>
      </w:pPr>
      <w:r w:rsidRPr="000A2EB9">
        <w:rPr>
          <w:bCs/>
          <w:lang w:val="es-ES"/>
        </w:rPr>
        <w:t>2.2. “Galván”</w:t>
      </w:r>
    </w:p>
    <w:p w14:paraId="0D652953" w14:textId="77777777" w:rsidR="000A2EB9" w:rsidRPr="000A2EB9" w:rsidRDefault="000A2EB9" w:rsidP="000A2EB9">
      <w:pPr>
        <w:spacing w:line="360" w:lineRule="auto"/>
        <w:jc w:val="both"/>
        <w:rPr>
          <w:bCs/>
          <w:lang w:val="es-ES"/>
        </w:rPr>
      </w:pPr>
      <w:r w:rsidRPr="000A2EB9">
        <w:rPr>
          <w:bCs/>
          <w:lang w:val="es-ES"/>
        </w:rPr>
        <w:t>2. 3. El caso “Torrillo”.</w:t>
      </w:r>
    </w:p>
    <w:p w14:paraId="7CEEFB70" w14:textId="77777777" w:rsidR="000A2EB9" w:rsidRPr="000A2EB9" w:rsidRDefault="000A2EB9" w:rsidP="000A2EB9">
      <w:pPr>
        <w:spacing w:line="360" w:lineRule="auto"/>
        <w:jc w:val="both"/>
        <w:rPr>
          <w:bCs/>
          <w:lang w:val="es-ES"/>
        </w:rPr>
      </w:pPr>
      <w:r w:rsidRPr="000A2EB9">
        <w:rPr>
          <w:bCs/>
          <w:lang w:val="es-ES"/>
        </w:rPr>
        <w:t>2.4. La causa “Busto”.</w:t>
      </w:r>
    </w:p>
    <w:p w14:paraId="7730F0EB" w14:textId="77777777" w:rsidR="000A2EB9" w:rsidRPr="000A2EB9" w:rsidRDefault="000A2EB9" w:rsidP="000A2EB9">
      <w:pPr>
        <w:spacing w:line="360" w:lineRule="auto"/>
        <w:jc w:val="both"/>
        <w:rPr>
          <w:bCs/>
          <w:lang w:val="es-ES"/>
        </w:rPr>
      </w:pPr>
      <w:r w:rsidRPr="000A2EB9">
        <w:rPr>
          <w:bCs/>
          <w:lang w:val="es-ES"/>
        </w:rPr>
        <w:t>2. 5. La causa “Naval”.</w:t>
      </w:r>
    </w:p>
    <w:p w14:paraId="2B9763AE" w14:textId="77777777" w:rsidR="000A2EB9" w:rsidRPr="000A2EB9" w:rsidRDefault="000A2EB9" w:rsidP="000A2EB9">
      <w:pPr>
        <w:spacing w:line="360" w:lineRule="auto"/>
        <w:jc w:val="both"/>
        <w:rPr>
          <w:bCs/>
          <w:lang w:val="es-ES"/>
        </w:rPr>
      </w:pPr>
      <w:r w:rsidRPr="000A2EB9">
        <w:rPr>
          <w:bCs/>
          <w:lang w:val="es-ES"/>
        </w:rPr>
        <w:t>Capítulo 7. La inconstitucionalidad de la competencia especial y federal fijada en los arts. 21 y 46 LRT.</w:t>
      </w:r>
    </w:p>
    <w:p w14:paraId="69D7CADF" w14:textId="77777777" w:rsidR="000A2EB9" w:rsidRPr="000A2EB9" w:rsidRDefault="000A2EB9" w:rsidP="000A2EB9">
      <w:pPr>
        <w:spacing w:line="360" w:lineRule="auto"/>
        <w:jc w:val="both"/>
        <w:rPr>
          <w:bCs/>
          <w:lang w:val="es-ES"/>
        </w:rPr>
      </w:pPr>
      <w:r w:rsidRPr="000A2EB9">
        <w:rPr>
          <w:bCs/>
          <w:lang w:val="es-ES"/>
        </w:rPr>
        <w:t>1. El caso “Castillo”.</w:t>
      </w:r>
    </w:p>
    <w:p w14:paraId="168EC3DA" w14:textId="77777777" w:rsidR="000A2EB9" w:rsidRPr="000A2EB9" w:rsidRDefault="000A2EB9" w:rsidP="000A2EB9">
      <w:pPr>
        <w:spacing w:line="360" w:lineRule="auto"/>
        <w:jc w:val="both"/>
        <w:rPr>
          <w:bCs/>
          <w:lang w:val="es-ES"/>
        </w:rPr>
      </w:pPr>
      <w:r w:rsidRPr="000A2EB9">
        <w:rPr>
          <w:bCs/>
          <w:lang w:val="es-ES"/>
        </w:rPr>
        <w:t>2 Los casos “Venialgo”, “Marchetti” y “Carrasco”.</w:t>
      </w:r>
    </w:p>
    <w:p w14:paraId="7DFC38D1" w14:textId="77777777" w:rsidR="000A2EB9" w:rsidRPr="000A2EB9" w:rsidRDefault="000A2EB9" w:rsidP="000A2EB9">
      <w:pPr>
        <w:spacing w:line="360" w:lineRule="auto"/>
        <w:jc w:val="both"/>
        <w:rPr>
          <w:bCs/>
          <w:lang w:val="es-ES"/>
        </w:rPr>
      </w:pPr>
      <w:r w:rsidRPr="000A2EB9">
        <w:rPr>
          <w:bCs/>
          <w:lang w:val="es-ES"/>
        </w:rPr>
        <w:t>2.1. El caso “Venialgo”.</w:t>
      </w:r>
    </w:p>
    <w:p w14:paraId="501C93B9" w14:textId="77777777" w:rsidR="000A2EB9" w:rsidRPr="000A2EB9" w:rsidRDefault="000A2EB9" w:rsidP="000A2EB9">
      <w:pPr>
        <w:spacing w:line="360" w:lineRule="auto"/>
        <w:jc w:val="both"/>
        <w:rPr>
          <w:bCs/>
          <w:lang w:val="es-ES"/>
        </w:rPr>
      </w:pPr>
      <w:r w:rsidRPr="000A2EB9">
        <w:rPr>
          <w:bCs/>
          <w:lang w:val="es-ES"/>
        </w:rPr>
        <w:t>2.2. La causa “Marchetti”.</w:t>
      </w:r>
    </w:p>
    <w:p w14:paraId="735C0C53" w14:textId="77777777" w:rsidR="000A2EB9" w:rsidRPr="000A2EB9" w:rsidRDefault="000A2EB9" w:rsidP="000A2EB9">
      <w:pPr>
        <w:spacing w:line="360" w:lineRule="auto"/>
        <w:jc w:val="both"/>
        <w:rPr>
          <w:bCs/>
          <w:lang w:val="es-ES"/>
        </w:rPr>
      </w:pPr>
      <w:r w:rsidRPr="000A2EB9">
        <w:rPr>
          <w:bCs/>
          <w:lang w:val="es-ES"/>
        </w:rPr>
        <w:t>2.3. El caso “Carrasco”</w:t>
      </w:r>
    </w:p>
    <w:p w14:paraId="2D51D07A" w14:textId="77777777" w:rsidR="000A2EB9" w:rsidRPr="000A2EB9" w:rsidRDefault="000A2EB9" w:rsidP="000A2EB9">
      <w:pPr>
        <w:spacing w:line="360" w:lineRule="auto"/>
        <w:jc w:val="both"/>
        <w:rPr>
          <w:bCs/>
          <w:lang w:val="es-ES"/>
        </w:rPr>
      </w:pPr>
      <w:r w:rsidRPr="000A2EB9">
        <w:rPr>
          <w:bCs/>
          <w:lang w:val="es-ES"/>
        </w:rPr>
        <w:t>2.4. Los casos “Strangio” y “Abbondio”.</w:t>
      </w:r>
    </w:p>
    <w:p w14:paraId="36B7A9C5" w14:textId="77777777" w:rsidR="000A2EB9" w:rsidRPr="000A2EB9" w:rsidRDefault="000A2EB9" w:rsidP="000A2EB9">
      <w:pPr>
        <w:spacing w:line="360" w:lineRule="auto"/>
        <w:jc w:val="both"/>
        <w:rPr>
          <w:bCs/>
          <w:lang w:val="es-ES"/>
        </w:rPr>
      </w:pPr>
      <w:r w:rsidRPr="000A2EB9">
        <w:rPr>
          <w:bCs/>
          <w:lang w:val="es-ES"/>
        </w:rPr>
        <w:t>2.4.1 Causa “Strangio”.</w:t>
      </w:r>
    </w:p>
    <w:p w14:paraId="3EF8AF0D" w14:textId="77777777" w:rsidR="000A2EB9" w:rsidRPr="000A2EB9" w:rsidRDefault="000A2EB9" w:rsidP="000A2EB9">
      <w:pPr>
        <w:spacing w:line="360" w:lineRule="auto"/>
        <w:jc w:val="both"/>
        <w:rPr>
          <w:bCs/>
          <w:lang w:val="es-ES"/>
        </w:rPr>
      </w:pPr>
      <w:r w:rsidRPr="000A2EB9">
        <w:rPr>
          <w:bCs/>
          <w:lang w:val="es-ES"/>
        </w:rPr>
        <w:t>2.4.2. “Abbondio”.</w:t>
      </w:r>
    </w:p>
    <w:p w14:paraId="6560604F" w14:textId="77777777" w:rsidR="000A2EB9" w:rsidRPr="000A2EB9" w:rsidRDefault="000A2EB9" w:rsidP="000A2EB9">
      <w:pPr>
        <w:spacing w:line="360" w:lineRule="auto"/>
        <w:jc w:val="both"/>
        <w:rPr>
          <w:bCs/>
          <w:lang w:val="es-ES"/>
        </w:rPr>
      </w:pPr>
      <w:r w:rsidRPr="000A2EB9">
        <w:rPr>
          <w:bCs/>
          <w:lang w:val="es-ES"/>
        </w:rPr>
        <w:t>2.5. La importancia del fallo “Obregón”</w:t>
      </w:r>
    </w:p>
    <w:p w14:paraId="3D5BA7B1" w14:textId="77777777" w:rsidR="000A2EB9" w:rsidRPr="000A2EB9" w:rsidRDefault="000A2EB9" w:rsidP="000A2EB9">
      <w:pPr>
        <w:spacing w:line="360" w:lineRule="auto"/>
        <w:jc w:val="both"/>
        <w:rPr>
          <w:bCs/>
          <w:lang w:val="es-ES"/>
        </w:rPr>
      </w:pPr>
      <w:r w:rsidRPr="000A2EB9">
        <w:rPr>
          <w:bCs/>
          <w:lang w:val="es-ES"/>
        </w:rPr>
        <w:t>8. La validez de la atribución de competencia por la ley a las Comisiones Médicas.</w:t>
      </w:r>
    </w:p>
    <w:p w14:paraId="003D07D9" w14:textId="77777777" w:rsidR="000A2EB9" w:rsidRPr="000A2EB9" w:rsidRDefault="000A2EB9" w:rsidP="000A2EB9">
      <w:pPr>
        <w:spacing w:line="360" w:lineRule="auto"/>
        <w:jc w:val="both"/>
        <w:rPr>
          <w:bCs/>
          <w:lang w:val="es-ES"/>
        </w:rPr>
      </w:pPr>
      <w:r w:rsidRPr="000A2EB9">
        <w:rPr>
          <w:bCs/>
          <w:lang w:val="es-ES"/>
        </w:rPr>
        <w:t>1. La causa “Fernández de Arias”.</w:t>
      </w:r>
    </w:p>
    <w:p w14:paraId="4062BB71" w14:textId="77777777" w:rsidR="000A2EB9" w:rsidRPr="000A2EB9" w:rsidRDefault="000A2EB9" w:rsidP="000A2EB9">
      <w:pPr>
        <w:spacing w:line="360" w:lineRule="auto"/>
        <w:jc w:val="both"/>
        <w:rPr>
          <w:bCs/>
          <w:lang w:val="es-ES"/>
        </w:rPr>
      </w:pPr>
      <w:r w:rsidRPr="000A2EB9">
        <w:rPr>
          <w:bCs/>
          <w:lang w:val="es-ES"/>
        </w:rPr>
        <w:t>2. El caso “Ángel Estrada y Cía. SA”</w:t>
      </w:r>
    </w:p>
    <w:p w14:paraId="26BDACF4" w14:textId="77777777" w:rsidR="000A2EB9" w:rsidRPr="000A2EB9" w:rsidRDefault="000A2EB9" w:rsidP="000A2EB9">
      <w:pPr>
        <w:spacing w:line="360" w:lineRule="auto"/>
        <w:jc w:val="both"/>
        <w:rPr>
          <w:bCs/>
          <w:lang w:val="es-ES"/>
        </w:rPr>
      </w:pPr>
      <w:r w:rsidRPr="000A2EB9">
        <w:rPr>
          <w:bCs/>
          <w:lang w:val="es-ES"/>
        </w:rPr>
        <w:t>3. Las proyecciones de “Ángel Estrada y Cía. SA” sobre los arts. 21 y 46 LRT.</w:t>
      </w:r>
    </w:p>
    <w:p w14:paraId="55A0D8C4" w14:textId="77777777" w:rsidR="000A2EB9" w:rsidRPr="000A2EB9" w:rsidRDefault="000A2EB9" w:rsidP="000A2EB9">
      <w:pPr>
        <w:spacing w:line="360" w:lineRule="auto"/>
        <w:jc w:val="both"/>
        <w:rPr>
          <w:bCs/>
          <w:lang w:val="es-ES"/>
        </w:rPr>
      </w:pPr>
      <w:r w:rsidRPr="000A2EB9">
        <w:rPr>
          <w:bCs/>
          <w:lang w:val="es-ES"/>
        </w:rPr>
        <w:t xml:space="preserve">Capítulo 9. La limitación por decreto de la cobertura por parte de la ART de las contingencias producidas luego de la </w:t>
      </w:r>
      <w:proofErr w:type="spellStart"/>
      <w:r w:rsidRPr="000A2EB9">
        <w:rPr>
          <w:bCs/>
          <w:lang w:val="es-ES"/>
        </w:rPr>
        <w:t>resci-sión</w:t>
      </w:r>
      <w:proofErr w:type="spellEnd"/>
      <w:r w:rsidRPr="000A2EB9">
        <w:rPr>
          <w:bCs/>
          <w:lang w:val="es-ES"/>
        </w:rPr>
        <w:t xml:space="preserve"> por falta de pago.</w:t>
      </w:r>
    </w:p>
    <w:p w14:paraId="16A8C606" w14:textId="77777777" w:rsidR="000A2EB9" w:rsidRPr="000A2EB9" w:rsidRDefault="000A2EB9" w:rsidP="000A2EB9">
      <w:pPr>
        <w:spacing w:line="360" w:lineRule="auto"/>
        <w:jc w:val="both"/>
        <w:rPr>
          <w:bCs/>
          <w:lang w:val="es-ES"/>
        </w:rPr>
      </w:pPr>
      <w:r w:rsidRPr="000A2EB9">
        <w:rPr>
          <w:bCs/>
          <w:lang w:val="es-ES"/>
        </w:rPr>
        <w:lastRenderedPageBreak/>
        <w:t>La causa “Carrizo”</w:t>
      </w:r>
    </w:p>
    <w:p w14:paraId="63C1A074" w14:textId="77777777" w:rsidR="000A2EB9" w:rsidRPr="000A2EB9" w:rsidRDefault="000A2EB9" w:rsidP="000A2EB9">
      <w:pPr>
        <w:spacing w:line="360" w:lineRule="auto"/>
        <w:jc w:val="both"/>
        <w:rPr>
          <w:bCs/>
          <w:lang w:val="es-ES"/>
        </w:rPr>
      </w:pPr>
      <w:r w:rsidRPr="000A2EB9">
        <w:rPr>
          <w:bCs/>
          <w:lang w:val="es-ES"/>
        </w:rPr>
        <w:t>Capítulo 10. Inconstitucionalidad exclusión derechohabientes.</w:t>
      </w:r>
    </w:p>
    <w:p w14:paraId="16357EE6" w14:textId="77777777" w:rsidR="000A2EB9" w:rsidRPr="000A2EB9" w:rsidRDefault="000A2EB9" w:rsidP="000A2EB9">
      <w:pPr>
        <w:spacing w:line="360" w:lineRule="auto"/>
        <w:jc w:val="both"/>
        <w:rPr>
          <w:bCs/>
          <w:lang w:val="es-ES"/>
        </w:rPr>
      </w:pPr>
      <w:r w:rsidRPr="000A2EB9">
        <w:rPr>
          <w:bCs/>
          <w:lang w:val="es-ES"/>
        </w:rPr>
        <w:t>Capítulo 11. Insuficiencia de las indemnizaciones del sistema y su relación con los topes máximos.</w:t>
      </w:r>
    </w:p>
    <w:p w14:paraId="1D520198" w14:textId="77777777" w:rsidR="000A2EB9" w:rsidRPr="000A2EB9" w:rsidRDefault="000A2EB9" w:rsidP="000A2EB9">
      <w:pPr>
        <w:spacing w:line="360" w:lineRule="auto"/>
        <w:jc w:val="both"/>
        <w:rPr>
          <w:bCs/>
          <w:lang w:val="es-ES"/>
        </w:rPr>
      </w:pPr>
      <w:r w:rsidRPr="000A2EB9">
        <w:rPr>
          <w:bCs/>
          <w:lang w:val="es-ES"/>
        </w:rPr>
        <w:t>1. La causa “Berti” y un tope oculto.</w:t>
      </w:r>
    </w:p>
    <w:p w14:paraId="6E13D4FF" w14:textId="77777777" w:rsidR="000A2EB9" w:rsidRPr="000A2EB9" w:rsidRDefault="000A2EB9" w:rsidP="000A2EB9">
      <w:pPr>
        <w:spacing w:line="360" w:lineRule="auto"/>
        <w:jc w:val="both"/>
        <w:rPr>
          <w:bCs/>
          <w:lang w:val="es-ES"/>
        </w:rPr>
      </w:pPr>
      <w:r w:rsidRPr="000A2EB9">
        <w:rPr>
          <w:bCs/>
          <w:lang w:val="es-ES"/>
        </w:rPr>
        <w:t>2. El caso “Ascua” y la inconstitucionalidad del tope máximo con-tenido en la ley 9688.</w:t>
      </w:r>
    </w:p>
    <w:p w14:paraId="09DF1DFF" w14:textId="77777777" w:rsidR="000A2EB9" w:rsidRPr="000A2EB9" w:rsidRDefault="000A2EB9" w:rsidP="000A2EB9">
      <w:pPr>
        <w:spacing w:line="360" w:lineRule="auto"/>
        <w:jc w:val="both"/>
        <w:rPr>
          <w:bCs/>
          <w:lang w:val="es-ES"/>
        </w:rPr>
      </w:pPr>
      <w:r w:rsidRPr="000A2EB9">
        <w:rPr>
          <w:bCs/>
          <w:lang w:val="es-ES"/>
        </w:rPr>
        <w:t xml:space="preserve">3. El caso “Lucca de Hoz” y el corazón del problema: la </w:t>
      </w:r>
      <w:proofErr w:type="spellStart"/>
      <w:r w:rsidRPr="000A2EB9">
        <w:rPr>
          <w:bCs/>
          <w:lang w:val="es-ES"/>
        </w:rPr>
        <w:t>mezquin</w:t>
      </w:r>
      <w:proofErr w:type="spellEnd"/>
      <w:r w:rsidRPr="000A2EB9">
        <w:rPr>
          <w:bCs/>
          <w:lang w:val="es-ES"/>
        </w:rPr>
        <w:t>-dad de las prestaciones de la ley 24.557.</w:t>
      </w:r>
    </w:p>
    <w:p w14:paraId="4F8E6DB8" w14:textId="77777777" w:rsidR="000A2EB9" w:rsidRPr="000A2EB9" w:rsidRDefault="000A2EB9" w:rsidP="000A2EB9">
      <w:pPr>
        <w:spacing w:line="360" w:lineRule="auto"/>
        <w:jc w:val="both"/>
        <w:rPr>
          <w:bCs/>
          <w:lang w:val="es-ES"/>
        </w:rPr>
      </w:pPr>
      <w:r w:rsidRPr="000A2EB9">
        <w:rPr>
          <w:bCs/>
          <w:lang w:val="es-ES"/>
        </w:rPr>
        <w:t>4. “Marando”.</w:t>
      </w:r>
    </w:p>
    <w:p w14:paraId="2613FA85" w14:textId="77777777" w:rsidR="000A2EB9" w:rsidRPr="000A2EB9" w:rsidRDefault="000A2EB9" w:rsidP="000A2EB9">
      <w:pPr>
        <w:spacing w:line="360" w:lineRule="auto"/>
        <w:jc w:val="both"/>
        <w:rPr>
          <w:bCs/>
          <w:lang w:val="es-ES"/>
        </w:rPr>
      </w:pPr>
      <w:r w:rsidRPr="000A2EB9">
        <w:rPr>
          <w:bCs/>
          <w:lang w:val="es-ES"/>
        </w:rPr>
        <w:t xml:space="preserve">5. La posible aplicación de la nueva norma a contingencias </w:t>
      </w:r>
      <w:proofErr w:type="spellStart"/>
      <w:r w:rsidRPr="000A2EB9">
        <w:rPr>
          <w:bCs/>
          <w:lang w:val="es-ES"/>
        </w:rPr>
        <w:t>an-teriores</w:t>
      </w:r>
      <w:proofErr w:type="spellEnd"/>
      <w:r w:rsidRPr="000A2EB9">
        <w:rPr>
          <w:bCs/>
          <w:lang w:val="es-ES"/>
        </w:rPr>
        <w:t>.</w:t>
      </w:r>
    </w:p>
    <w:p w14:paraId="677E8F83" w14:textId="77777777" w:rsidR="000A2EB9" w:rsidRPr="000A2EB9" w:rsidRDefault="000A2EB9" w:rsidP="000A2EB9">
      <w:pPr>
        <w:spacing w:line="360" w:lineRule="auto"/>
        <w:jc w:val="both"/>
        <w:rPr>
          <w:bCs/>
          <w:lang w:val="es-ES"/>
        </w:rPr>
      </w:pPr>
      <w:r w:rsidRPr="000A2EB9">
        <w:rPr>
          <w:bCs/>
          <w:lang w:val="es-ES"/>
        </w:rPr>
        <w:t>6. Alcances del mecanismo de adecuación económica de los arts. 8 y 17 de la ley 26.773.</w:t>
      </w:r>
    </w:p>
    <w:p w14:paraId="7D549490" w14:textId="77777777" w:rsidR="000A2EB9" w:rsidRPr="000A2EB9" w:rsidRDefault="000A2EB9" w:rsidP="000A2EB9">
      <w:pPr>
        <w:spacing w:line="360" w:lineRule="auto"/>
        <w:jc w:val="both"/>
        <w:rPr>
          <w:bCs/>
          <w:lang w:val="es-ES"/>
        </w:rPr>
      </w:pPr>
      <w:r w:rsidRPr="000A2EB9">
        <w:rPr>
          <w:bCs/>
          <w:lang w:val="es-ES"/>
        </w:rPr>
        <w:t>7. El adicional del art. 3 de la ley 26.773, una real mejora de las indemnizaciones.</w:t>
      </w:r>
    </w:p>
    <w:p w14:paraId="30D461CF" w14:textId="77777777" w:rsidR="000A2EB9" w:rsidRPr="000A2EB9" w:rsidRDefault="000A2EB9" w:rsidP="000A2EB9">
      <w:pPr>
        <w:spacing w:line="360" w:lineRule="auto"/>
        <w:jc w:val="both"/>
        <w:rPr>
          <w:bCs/>
          <w:lang w:val="es-ES"/>
        </w:rPr>
      </w:pPr>
      <w:r w:rsidRPr="000A2EB9">
        <w:rPr>
          <w:bCs/>
          <w:lang w:val="es-ES"/>
        </w:rPr>
        <w:t>8. Inconstitucionalidad de los topes indemnizatorios.</w:t>
      </w:r>
    </w:p>
    <w:p w14:paraId="5EB901A9" w14:textId="77777777" w:rsidR="000A2EB9" w:rsidRPr="000A2EB9" w:rsidRDefault="000A2EB9" w:rsidP="000A2EB9">
      <w:pPr>
        <w:spacing w:line="360" w:lineRule="auto"/>
        <w:jc w:val="both"/>
        <w:rPr>
          <w:bCs/>
          <w:lang w:val="es-ES"/>
        </w:rPr>
      </w:pPr>
      <w:r w:rsidRPr="000A2EB9">
        <w:rPr>
          <w:bCs/>
          <w:lang w:val="es-ES"/>
        </w:rPr>
        <w:t xml:space="preserve">9. Pautas para la fijación de la reparación integral en las </w:t>
      </w:r>
      <w:proofErr w:type="spellStart"/>
      <w:r w:rsidRPr="000A2EB9">
        <w:rPr>
          <w:bCs/>
          <w:lang w:val="es-ES"/>
        </w:rPr>
        <w:t>accio-nes</w:t>
      </w:r>
      <w:proofErr w:type="spellEnd"/>
      <w:r w:rsidRPr="000A2EB9">
        <w:rPr>
          <w:bCs/>
          <w:lang w:val="es-ES"/>
        </w:rPr>
        <w:t xml:space="preserve"> por infortunios del trabajo con fundamento en el derecho común.</w:t>
      </w:r>
    </w:p>
    <w:p w14:paraId="7A81AAD3" w14:textId="77777777" w:rsidR="000A2EB9" w:rsidRPr="000A2EB9" w:rsidRDefault="000A2EB9" w:rsidP="000A2EB9">
      <w:pPr>
        <w:spacing w:line="360" w:lineRule="auto"/>
        <w:jc w:val="both"/>
        <w:rPr>
          <w:bCs/>
          <w:lang w:val="es-ES"/>
        </w:rPr>
      </w:pPr>
      <w:r w:rsidRPr="000A2EB9">
        <w:rPr>
          <w:bCs/>
          <w:lang w:val="es-ES"/>
        </w:rPr>
        <w:t>1. “Arostegui”.</w:t>
      </w:r>
    </w:p>
    <w:p w14:paraId="5B835936" w14:textId="77777777" w:rsidR="000A2EB9" w:rsidRPr="000A2EB9" w:rsidRDefault="000A2EB9" w:rsidP="000A2EB9">
      <w:pPr>
        <w:spacing w:line="360" w:lineRule="auto"/>
        <w:jc w:val="both"/>
        <w:rPr>
          <w:bCs/>
          <w:lang w:val="es-ES"/>
        </w:rPr>
      </w:pPr>
      <w:r w:rsidRPr="000A2EB9">
        <w:rPr>
          <w:bCs/>
          <w:lang w:val="es-ES"/>
        </w:rPr>
        <w:t>2. La causa “Ontiveros”.</w:t>
      </w:r>
    </w:p>
    <w:p w14:paraId="5902507F" w14:textId="77777777" w:rsidR="000A2EB9" w:rsidRPr="000A2EB9" w:rsidRDefault="000A2EB9" w:rsidP="000A2EB9">
      <w:pPr>
        <w:spacing w:line="360" w:lineRule="auto"/>
        <w:jc w:val="both"/>
        <w:rPr>
          <w:bCs/>
          <w:lang w:val="es-ES"/>
        </w:rPr>
      </w:pPr>
      <w:r w:rsidRPr="000A2EB9">
        <w:rPr>
          <w:bCs/>
          <w:lang w:val="es-ES"/>
        </w:rPr>
        <w:t>Capítulo 12. Alcances del art. 6 del decreto 717/1996.</w:t>
      </w:r>
    </w:p>
    <w:p w14:paraId="6865EC05" w14:textId="48D6F6D9" w:rsidR="00A957BE" w:rsidRPr="000A2EB9" w:rsidRDefault="00A957BE" w:rsidP="002F5665">
      <w:pPr>
        <w:spacing w:line="360" w:lineRule="auto"/>
        <w:jc w:val="both"/>
        <w:rPr>
          <w:bCs/>
          <w:lang w:val="es-ES"/>
        </w:rPr>
      </w:pPr>
    </w:p>
    <w:sectPr w:rsidR="00A957BE" w:rsidRPr="000A2EB9" w:rsidSect="0070646B">
      <w:headerReference w:type="default" r:id="rId8"/>
      <w:footerReference w:type="even" r:id="rId9"/>
      <w:pgSz w:w="12242" w:h="20163" w:code="5"/>
      <w:pgMar w:top="1440" w:right="1797" w:bottom="1440" w:left="226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3FBC83F" w14:textId="77777777" w:rsidR="006B5239" w:rsidRDefault="006B5239">
      <w:r>
        <w:separator/>
      </w:r>
    </w:p>
  </w:endnote>
  <w:endnote w:type="continuationSeparator" w:id="0">
    <w:p w14:paraId="3A0358DC" w14:textId="77777777" w:rsidR="006B5239" w:rsidRDefault="006B523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408D054" w14:textId="77777777" w:rsidR="000B58BD" w:rsidRDefault="000B58BD" w:rsidP="003F0460">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14:paraId="512D048D" w14:textId="77777777" w:rsidR="000B58BD" w:rsidRDefault="000B58BD" w:rsidP="0065190F">
    <w:pPr>
      <w:pStyle w:val="Piedepgina"/>
      <w:ind w:right="360"/>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31146D2" w14:textId="77777777" w:rsidR="006B5239" w:rsidRDefault="006B5239">
      <w:r>
        <w:separator/>
      </w:r>
    </w:p>
  </w:footnote>
  <w:footnote w:type="continuationSeparator" w:id="0">
    <w:p w14:paraId="0F25BFBA" w14:textId="77777777" w:rsidR="006B5239" w:rsidRDefault="006B5239">
      <w:r>
        <w:continuationSeparator/>
      </w:r>
    </w:p>
  </w:footnote>
  <w:footnote w:id="1">
    <w:p w14:paraId="15CD4732" w14:textId="7AA7F737" w:rsidR="000B58BD" w:rsidRPr="007D2659" w:rsidRDefault="000B58BD" w:rsidP="007D2659">
      <w:pPr>
        <w:pStyle w:val="Textonotapie"/>
        <w:spacing w:line="276" w:lineRule="auto"/>
        <w:jc w:val="both"/>
      </w:pPr>
      <w:r w:rsidRPr="007D2659">
        <w:rPr>
          <w:rStyle w:val="Refdenotaalpie"/>
        </w:rPr>
        <w:footnoteRef/>
      </w:r>
      <w:r w:rsidRPr="007D2659">
        <w:t xml:space="preserve"> Advierto que la denominación oficial de dicho tribunal es Corte Suprema de Justicia de la Nación. Sin embargo, en el presente texto utilizaré, alternativa e indistintamente, las expresiones Corte Federal, Supremo Tribunal, Máximo Tribunal, CSJN, Tribunal Cimero y Más Alto Tribunal ya que esas denominaciones se utilizan en mi país para hacer alusión a la Corte Suprema argentina y como una pequeña contribución a la elegancia del texto, sin cansadoras repeticiones de un mismo vocablo o de una misma expresión.</w:t>
      </w:r>
    </w:p>
  </w:footnote>
  <w:footnote w:id="2">
    <w:p w14:paraId="0DFF15B1" w14:textId="5D2EC541" w:rsidR="000B58BD" w:rsidRPr="007D2659" w:rsidRDefault="000B58BD" w:rsidP="007D2659">
      <w:pPr>
        <w:pStyle w:val="Textonotapie"/>
        <w:spacing w:line="276" w:lineRule="auto"/>
        <w:jc w:val="both"/>
      </w:pPr>
      <w:r w:rsidRPr="007D2659">
        <w:rPr>
          <w:rStyle w:val="Refdenotaalpie"/>
        </w:rPr>
        <w:footnoteRef/>
      </w:r>
      <w:r w:rsidRPr="007D2659">
        <w:t xml:space="preserve"> Más adelante, en el texto, explicaré muy abreviadamente los avatares que vivió desde la década de los años 90 la Corte Suprema argentina.</w:t>
      </w:r>
    </w:p>
  </w:footnote>
  <w:footnote w:id="3">
    <w:p w14:paraId="5D94200C" w14:textId="3156E444" w:rsidR="000B58BD" w:rsidRPr="007D2659" w:rsidRDefault="000B58BD" w:rsidP="007D2659">
      <w:pPr>
        <w:pStyle w:val="Textonotapie"/>
        <w:spacing w:line="276" w:lineRule="auto"/>
        <w:jc w:val="both"/>
      </w:pPr>
      <w:r w:rsidRPr="007D2659">
        <w:rPr>
          <w:rStyle w:val="Refdenotaalpie"/>
        </w:rPr>
        <w:footnoteRef/>
      </w:r>
      <w:r w:rsidRPr="007D2659">
        <w:t xml:space="preserve"> El territorio en que se asienta la Ciudad Autónoma de Buenos Aires, de ahora en adelante CABA en este texto, nació como una cesión de espacio físico hecho por la Provincia de Buenos Aires al gobierno federal para asentar allí la Capital Federal del país. La reforma constitucional de 1994 le dio un heterogéneo status de Ciudad Autónoma, donde sigue radicando la Capital de la Nación, con ciertos datos de autonomía pero sin otorgarle el carácter de estado provincial. Este heterodoxo estado de la CABA provoca, por ejemplo, que no goce de un Poder Judicial completo, como lo tienen todas las provincias, y que, en cambio, sea el lugar de asiento de Tribunales Nacionales, como los civiles, los comerciales y los del trabajo.</w:t>
      </w:r>
    </w:p>
  </w:footnote>
  <w:footnote w:id="4">
    <w:p w14:paraId="6C5719E5" w14:textId="4F4379D9" w:rsidR="000B58BD" w:rsidRPr="007D2659" w:rsidRDefault="000B58BD" w:rsidP="007D2659">
      <w:pPr>
        <w:pStyle w:val="Textonotapie"/>
        <w:spacing w:line="276" w:lineRule="auto"/>
        <w:jc w:val="both"/>
      </w:pPr>
      <w:r w:rsidRPr="007D2659">
        <w:rPr>
          <w:rStyle w:val="Refdenotaalpie"/>
        </w:rPr>
        <w:footnoteRef/>
      </w:r>
      <w:r w:rsidRPr="007D2659">
        <w:t xml:space="preserve"> Si bien el proceso de Unidad se plasmó con la Constitución de 1853, la Provincia de Buenos Aires sólo se incorporó a la federación de estados en 1860, provocando este hecho político la primera reforma de aquella constitución.</w:t>
      </w:r>
    </w:p>
  </w:footnote>
  <w:footnote w:id="5">
    <w:p w14:paraId="2B035575" w14:textId="0D9BDAB3" w:rsidR="000B58BD" w:rsidRPr="007D2659" w:rsidRDefault="000B58BD" w:rsidP="007D2659">
      <w:pPr>
        <w:pStyle w:val="Textonotapie"/>
        <w:spacing w:line="276" w:lineRule="auto"/>
        <w:jc w:val="both"/>
      </w:pPr>
      <w:r w:rsidRPr="007D2659">
        <w:rPr>
          <w:rStyle w:val="Refdenotaalpie"/>
        </w:rPr>
        <w:footnoteRef/>
      </w:r>
      <w:r w:rsidRPr="007D2659">
        <w:t xml:space="preserve"> La ley 48, dictada en 1863, es decir a poco de consolidada la Organización Nacional de la República Argentina, es considerada una norma organizativa fundamental del Poder Judicial de la Nación, reconocido por la Constitución Nacional como una de las 3 ramas de la República. En lo que aquí interesa dispone el art. 14 que “</w:t>
      </w:r>
      <w:r w:rsidRPr="007D2659">
        <w:rPr>
          <w:i/>
          <w:iCs/>
        </w:rPr>
        <w:t>Una vez radicado un juicio ante los Tribunales de Provincia, será sentenciado y fenecido en la jurisdicción provincial, y sólo podrá apelarse a la Corte Suprema de las sentencias definitivas pronunciadas por los tribunales superiores de provincia en los casos siguientes: 1° Cuando en el pleito se haya puesto en cuestión la validez de un Tratado, de una ley del Congreso, o de una autoridad ejercida en nombre de la Nación y la decisión haya sido contra su validez. 2° Cuando la validez de una ley, decreto o autoridad de Provincia se haya puesto en cuestión bajo la pretensión de ser repugnante a la Constitución Nacional, a los Tratados o leyes del Congreso, y la decisión haya sido en favor de la validez de la ley o autoridad de provincia. 3° Cuando la inteligencia de alguna cláusula de la Constitución, o de un Tratado o ley del Congreso, o una comisión ejercida en nombre de la autoridad nacional haya sido cuestionada y la decisión sea contra la validez del título, derecho; privilegio o exención que se funda en dicha cláusula y sea materia de litigio</w:t>
      </w:r>
      <w:r w:rsidRPr="007D2659">
        <w:t>”. Por su lado, el art. 15 reza así: “</w:t>
      </w:r>
      <w:r w:rsidRPr="007D2659">
        <w:rPr>
          <w:i/>
          <w:iCs/>
        </w:rPr>
        <w:t>Cuando se entable el recurso de apelación que autoriza el artículo anterior, deberá deducirse la queja con arreglo a lo prescripto en él, de tal modo, que su fundamento aparezca de los autos y tenga una relación directa e inmediata a las cuestiones de validez de los artículos de la Constitución, leyes, Tratados o comisiones en disputa, quedando entendido, que la interpretación o aplicaciones que los tribunales de provincia hicieren de los códigos Civil, Penal, Comercial y de Minería, no dará ocasión a este recurso por el hecho de ser leyes del Congreso, en virtud de lo dispuesto en el inciso 11, artículo 67 de la Constitución</w:t>
      </w:r>
      <w:r w:rsidRPr="007D2659">
        <w:t>”.</w:t>
      </w:r>
    </w:p>
  </w:footnote>
  <w:footnote w:id="6">
    <w:p w14:paraId="7D56453C" w14:textId="4E911D44" w:rsidR="000B58BD" w:rsidRPr="007D2659" w:rsidRDefault="000B58BD" w:rsidP="007D2659">
      <w:pPr>
        <w:pStyle w:val="Textonotapie"/>
        <w:spacing w:line="276" w:lineRule="auto"/>
        <w:jc w:val="both"/>
      </w:pPr>
      <w:r w:rsidRPr="007D2659">
        <w:rPr>
          <w:rStyle w:val="Refdenotaalpie"/>
        </w:rPr>
        <w:footnoteRef/>
      </w:r>
      <w:r w:rsidRPr="007D2659">
        <w:t xml:space="preserve"> De acuerdo a dicha teoría, el control de la validez formal de las sentencias tiende a resguardar la garantía de la defensa en juicio y del debido proceso, exigiendo que las sentencias de los jueces sean fundadas y constituyan derivación razonada del derecho vigente, con aplicación a las circunstancias comprobadas de la causa, entendiendo que la exigencia de que los fallos judiciales tengan fundamentos, reconoce raíz constitucional y que la sentencia aparezca desprovista de fundamentos legales, viola la garantía constitucional de la defensa en juicio. Fue creada pretorianamente en 1909 por la propia Corte Suprema en la causa “Rey, Celestino c/ Rocha, Alfredo y otro” y está basada en sostener que la violación de la garantía constitucional al debido proceso contenida en el art. 18 de la Constitución Nacional constituye una cuestión federal en los términos de los arts. 14 y 15 de la ley 48. Dicha añeja doctrina se consolidó a través de los años y por las distintas conformaciones del Más Alto Tribunal.</w:t>
      </w:r>
    </w:p>
  </w:footnote>
  <w:footnote w:id="7">
    <w:p w14:paraId="0A749677" w14:textId="54BD94F3" w:rsidR="000B58BD" w:rsidRPr="007D2659" w:rsidRDefault="000B58BD" w:rsidP="007D2659">
      <w:pPr>
        <w:pStyle w:val="Textonotapie"/>
        <w:spacing w:line="276" w:lineRule="auto"/>
        <w:jc w:val="both"/>
      </w:pPr>
      <w:r w:rsidRPr="007D2659">
        <w:rPr>
          <w:rStyle w:val="Refdenotaalpie"/>
        </w:rPr>
        <w:footnoteRef/>
      </w:r>
      <w:r w:rsidRPr="007D2659">
        <w:t xml:space="preserve"> Uno de ellos, por ejemplo, había sido socio del Presidente en su estudio jurídico.</w:t>
      </w:r>
    </w:p>
  </w:footnote>
  <w:footnote w:id="8">
    <w:p w14:paraId="27B135ED" w14:textId="0D700454" w:rsidR="000B58BD" w:rsidRPr="007D2659" w:rsidRDefault="000B58BD" w:rsidP="007D2659">
      <w:pPr>
        <w:pStyle w:val="Textonotapie"/>
        <w:spacing w:line="276" w:lineRule="auto"/>
        <w:jc w:val="both"/>
      </w:pPr>
      <w:r w:rsidRPr="007D2659">
        <w:rPr>
          <w:rStyle w:val="Refdenotaalpie"/>
        </w:rPr>
        <w:footnoteRef/>
      </w:r>
      <w:r w:rsidRPr="007D2659">
        <w:t xml:space="preserve"> Una clara muestra de ello puede verse en una obra magna, el Tratado de Derecho del Trabajo dirigido por Mario L. Deveali, quien encargara el capítulo relativo al Empleo Público a don Bartolomé Fiorini, un gran administrativista. </w:t>
      </w:r>
    </w:p>
  </w:footnote>
  <w:footnote w:id="9">
    <w:p w14:paraId="34B5370B" w14:textId="0B0A37B0" w:rsidR="000B58BD" w:rsidRPr="007D2659" w:rsidRDefault="000B58BD" w:rsidP="007D2659">
      <w:pPr>
        <w:pStyle w:val="Textonotapie"/>
        <w:spacing w:line="276" w:lineRule="auto"/>
        <w:jc w:val="both"/>
      </w:pPr>
      <w:r w:rsidRPr="007D2659">
        <w:rPr>
          <w:rStyle w:val="Refdenotaalpie"/>
        </w:rPr>
        <w:footnoteRef/>
      </w:r>
      <w:r w:rsidRPr="007D2659">
        <w:t xml:space="preserve"> El art. 31 de la ley 23.551 otorga en calidad de “derechos exclusivos” de las entidades con “personería gremial” los siguientes derechos: </w:t>
      </w:r>
      <w:r w:rsidRPr="007D2659">
        <w:rPr>
          <w:i/>
          <w:iCs/>
        </w:rPr>
        <w:t>a) Defender y representar ante el Estado y los empleadores los intereses individuales y colectivos de los trabajadores; b) Participar en instituciones de planificación y control de conformidades con lo que dispongan las normas respectivas; c) Intervenir en negociaciones colectivas y vigilar el cumplimiento de la normativa laboral y de seguridad social; d) Colaborar con el Estado en el estudio y solución de los problemas de los trabajadores; e) Constituir patrimonios de afectación que tendrán los mismos derechos que las cooperativas y mutualidades; f) Administrar sus propias obras sociales y, según el caso, participar en la administración de las creadas por ley o por convenciones colectivas de trabajo</w:t>
      </w:r>
      <w:r w:rsidRPr="007D2659">
        <w:t>.</w:t>
      </w:r>
    </w:p>
  </w:footnote>
  <w:footnote w:id="10">
    <w:p w14:paraId="0A2F6742" w14:textId="49BB83B9" w:rsidR="000B58BD" w:rsidRPr="007D2659" w:rsidRDefault="000B58BD" w:rsidP="007D2659">
      <w:pPr>
        <w:pStyle w:val="Textonotapie"/>
        <w:spacing w:line="276" w:lineRule="auto"/>
        <w:jc w:val="both"/>
      </w:pPr>
      <w:r w:rsidRPr="007D2659">
        <w:rPr>
          <w:rStyle w:val="Refdenotaalpie"/>
        </w:rPr>
        <w:footnoteRef/>
      </w:r>
      <w:r w:rsidRPr="007D2659">
        <w:t xml:space="preserve"> De acuerdo al art.  23 de dicha ley, las asociaciones sindicales “simplemente inscriptas” gozan de los siguientes derechos: </w:t>
      </w:r>
      <w:r w:rsidRPr="007D2659">
        <w:rPr>
          <w:i/>
          <w:iCs/>
        </w:rPr>
        <w:t>a) Peticionar y representar, a solicitud de parte, los intereses individuales de sus afiliados;  b) Representar los intereses colectivos, cuando no hubiere en la misma actividad o categoría asociación con personería gremial; c) Promover: La formación de sociedades cooperativas y mutuales; el perfeccionamiento de la legislación laboral, previsional de seguridad social; y la educación general y la formación profesional de los trabajadores; d) Imponer cotizaciones a sus afiliados; y e) Realizar reuniones o asambleas sin necesidad de autorización previa</w:t>
      </w:r>
      <w:r w:rsidRPr="007D2659">
        <w:t>.</w:t>
      </w:r>
    </w:p>
  </w:footnote>
  <w:footnote w:id="11">
    <w:p w14:paraId="631A7927" w14:textId="7FAC20C5" w:rsidR="000B58BD" w:rsidRPr="007D2659" w:rsidRDefault="000B58BD" w:rsidP="007D2659">
      <w:pPr>
        <w:pStyle w:val="Textonotapie"/>
        <w:spacing w:line="276" w:lineRule="auto"/>
        <w:jc w:val="both"/>
      </w:pPr>
      <w:r w:rsidRPr="007D2659">
        <w:rPr>
          <w:rStyle w:val="Refdenotaalpie"/>
        </w:rPr>
        <w:footnoteRef/>
      </w:r>
      <w:r w:rsidRPr="007D2659">
        <w:t xml:space="preserve"> En Argentina la ley general, Ley de Contrato de Trabajo, otorga protección contra el despido arbitrario mediante un sistema de estabilidad impropia, que se traduce en una indemnización económica. La Constitución Nacional en su art. 14 bis, luego de ordenar al Congreso Nacional legislar dando protección frente al despido arbitrario, garantiza la estabilidad propia en el empleo público. En su segunda parte, destinada a los derechos gremiales, la Constitución dispone que “</w:t>
      </w:r>
      <w:r w:rsidRPr="007D2659">
        <w:rPr>
          <w:i/>
          <w:iCs/>
        </w:rPr>
        <w:t>Los representantes gremiales gozarán de las garantías necesarias para el cumplimiento de su gestión sindical y las relacionadas con la estabilidad de su empleo</w:t>
      </w:r>
      <w:r w:rsidRPr="007D2659">
        <w:t>”.</w:t>
      </w:r>
    </w:p>
  </w:footnote>
  <w:footnote w:id="12">
    <w:p w14:paraId="50E0392A" w14:textId="10BCB091" w:rsidR="000B58BD" w:rsidRPr="007D2659" w:rsidRDefault="000B58BD" w:rsidP="007D2659">
      <w:pPr>
        <w:pStyle w:val="Textonotapie"/>
        <w:spacing w:line="276" w:lineRule="auto"/>
        <w:jc w:val="both"/>
      </w:pPr>
      <w:r w:rsidRPr="007D2659">
        <w:rPr>
          <w:rStyle w:val="Refdenotaalpie"/>
        </w:rPr>
        <w:footnoteRef/>
      </w:r>
      <w:r w:rsidRPr="007D2659">
        <w:t xml:space="preserve"> La ley 23.551 posee una norma amplia, el art. 47, que dice así: “</w:t>
      </w:r>
      <w:r w:rsidRPr="007D2659">
        <w:rPr>
          <w:i/>
          <w:iCs/>
        </w:rPr>
        <w:t>Todo trabajador o asociación sindical que fuere impedido u obstaculizado en el ejercicio regular de los derechos de la libertad sindical garantizados por la presente ley, podrá recabar el amparo de estos derechos ante el tribunal judicial competente, conforme al procedimiento sumarísimo establecido en el artículo 498 del Código de Procedimientos Civil y Comercial de la Nación o equivalente de los códigos procesales civiles provinciales, a fin de que éste disponga, si correspondiere, el cese inmediato del comportamiento antisindical</w:t>
      </w:r>
      <w:r w:rsidRPr="007D2659">
        <w:t>”. Empero, la doctrina largamente mayoritaria y la jurisprudencia han entendido que esa regla antidiscriminatoria amplia no permite, por ejemplo, dejar sin efecto un despido antisindical. He sostenido la tesis contra mayoritaria en mi estudio monográfico “Los alcances del artículo 47 de la ley 23.551 y el despido discriminatorio por razones de activismo sindical”, publicado Revista de Derecho Laboral, 2008, Nº 2, Discriminación y violencia laboral I, pág. 59, de Editorial Rubinzal-Culzoni.</w:t>
      </w:r>
    </w:p>
  </w:footnote>
  <w:footnote w:id="13">
    <w:p w14:paraId="374BF806" w14:textId="0A60EA98" w:rsidR="000B58BD" w:rsidRPr="007D2659" w:rsidRDefault="000B58BD" w:rsidP="007D2659">
      <w:pPr>
        <w:pStyle w:val="Textonotapie"/>
        <w:spacing w:line="276" w:lineRule="auto"/>
        <w:jc w:val="both"/>
      </w:pPr>
      <w:r w:rsidRPr="007D2659">
        <w:rPr>
          <w:rStyle w:val="Refdenotaalpie"/>
        </w:rPr>
        <w:footnoteRef/>
      </w:r>
      <w:r w:rsidRPr="007D2659">
        <w:t xml:space="preserve"> Así lo expresa el voto mayoritario cuando señalara que lo dicho “</w:t>
      </w:r>
      <w:r w:rsidRPr="007D2659">
        <w:rPr>
          <w:i/>
          <w:iCs/>
        </w:rPr>
        <w:t>…torna inoficioso analizar los agravios fundados en el cargo que investía la actora en FEMECA</w:t>
      </w:r>
      <w:r w:rsidR="0080032F" w:rsidRPr="007D2659">
        <w:t>”.</w:t>
      </w:r>
    </w:p>
  </w:footnote>
  <w:footnote w:id="14">
    <w:p w14:paraId="55AE3C48" w14:textId="1089B646" w:rsidR="000B58BD" w:rsidRPr="007D2659" w:rsidRDefault="000B58BD" w:rsidP="007D2659">
      <w:pPr>
        <w:pStyle w:val="Textonotapie"/>
        <w:spacing w:line="276" w:lineRule="auto"/>
        <w:jc w:val="both"/>
      </w:pPr>
      <w:r w:rsidRPr="007D2659">
        <w:rPr>
          <w:rStyle w:val="Refdenotaalpie"/>
        </w:rPr>
        <w:footnoteRef/>
      </w:r>
      <w:r w:rsidRPr="007D2659">
        <w:t xml:space="preserve"> Norma que, como señalé anteriormente, es interpretada restrictivamente por la doctrina y la jurisprudencia, que no le dan un alcance idóneo para nulificar despidos contrarios a la libertad sindical, mencionada en dicho art. 47 LAS.</w:t>
      </w:r>
    </w:p>
  </w:footnote>
  <w:footnote w:id="15">
    <w:p w14:paraId="5B007089" w14:textId="028FA43A" w:rsidR="000B58BD" w:rsidRPr="007D2659" w:rsidRDefault="000B58BD" w:rsidP="007D2659">
      <w:pPr>
        <w:pStyle w:val="Textonotapie"/>
        <w:spacing w:line="276" w:lineRule="auto"/>
        <w:jc w:val="both"/>
      </w:pPr>
      <w:r w:rsidRPr="007D2659">
        <w:rPr>
          <w:rStyle w:val="Refdenotaalpie"/>
        </w:rPr>
        <w:footnoteRef/>
      </w:r>
      <w:r w:rsidRPr="007D2659">
        <w:t xml:space="preserve"> Más adelante en esta exposición volveré sobre este pronunciamiento ya que, luego de resolver la cuestión relativa a la libertad sindical invocada por la entidad coactora ATE, la Corte Suprema dictó un importante decisorio en relación al principio de irrenunciabilidad salarial.</w:t>
      </w:r>
    </w:p>
  </w:footnote>
  <w:footnote w:id="16">
    <w:p w14:paraId="1A663D3B" w14:textId="2E55E036" w:rsidR="000B58BD" w:rsidRPr="007D2659" w:rsidRDefault="000B58BD" w:rsidP="007D2659">
      <w:pPr>
        <w:pStyle w:val="Textonotapie"/>
        <w:spacing w:line="276" w:lineRule="auto"/>
        <w:jc w:val="both"/>
      </w:pPr>
      <w:r w:rsidRPr="007D2659">
        <w:rPr>
          <w:rStyle w:val="Refdenotaalpie"/>
        </w:rPr>
        <w:footnoteRef/>
      </w:r>
      <w:r w:rsidRPr="007D2659">
        <w:t xml:space="preserve"> La Corte Suprema argentina ha evolucionado en los últimos años en materia de validez y exigencia del control oficioso de constitucionalidad y convencionalidad, partiendo de considerarlo improcedente hasta terminar exigiendo -como en el caso aquí mencionado- que sea efectuado por los tribunales en la medida que, de alguna forma aún larval, se haya hecho un cuestionamiento de la validez o justicia de las normas en cuestión.</w:t>
      </w:r>
    </w:p>
  </w:footnote>
  <w:footnote w:id="17">
    <w:p w14:paraId="02F7A720" w14:textId="6ECE4436" w:rsidR="000B58BD" w:rsidRPr="007D2659" w:rsidRDefault="000B58BD" w:rsidP="007D2659">
      <w:pPr>
        <w:pStyle w:val="Textonotapie"/>
        <w:spacing w:line="276" w:lineRule="auto"/>
        <w:jc w:val="both"/>
      </w:pPr>
      <w:r w:rsidRPr="007D2659">
        <w:footnoteRef/>
      </w:r>
      <w:r w:rsidRPr="007D2659">
        <w:t xml:space="preserve"> El art. 280 del CPCCN recepta el instituto del derecho anglosajón conocido como “right of certiorari” que le permite a la Corte Suprema desestimar los recursos extraordinarios por distintas razones y sin dar fundamentos. Dice dicha norma, luego de la reforma que le introdujo la ley 23.774, establece en el párrafo pertinente que “La Corte, según su sana discreción, y con la sola invocación de esta norma, podrá rechazar el recurso extraordinario, por falta de agravio federal suficiente o cuando las cuestiones planteadas resultaren insustanciales o carentes de trascendencia”.</w:t>
      </w:r>
    </w:p>
  </w:footnote>
  <w:footnote w:id="18">
    <w:p w14:paraId="0FD01EF9" w14:textId="50CE8A1A" w:rsidR="000B58BD" w:rsidRPr="007D2659" w:rsidRDefault="000B58BD" w:rsidP="007D2659">
      <w:pPr>
        <w:pStyle w:val="Textonotapie"/>
        <w:spacing w:line="276" w:lineRule="auto"/>
        <w:jc w:val="both"/>
      </w:pPr>
      <w:r w:rsidRPr="007D2659">
        <w:rPr>
          <w:rStyle w:val="Refdenotaalpie"/>
        </w:rPr>
        <w:footnoteRef/>
      </w:r>
      <w:r w:rsidRPr="007D2659">
        <w:t xml:space="preserve"> Exactamente dice el art. 14 bis en su párrafo 2º: “</w:t>
      </w:r>
      <w:r w:rsidRPr="007D2659">
        <w:rPr>
          <w:i/>
          <w:iCs/>
        </w:rPr>
        <w:t xml:space="preserve">Queda garantizado a los gremios: concertar convenios colectivos de trabajo; recurrir a la conciliación y al arbitraje; </w:t>
      </w:r>
      <w:r w:rsidRPr="007D2659">
        <w:rPr>
          <w:b/>
          <w:bCs/>
          <w:i/>
          <w:iCs/>
        </w:rPr>
        <w:t>el derecho de huelga</w:t>
      </w:r>
      <w:r w:rsidRPr="007D2659">
        <w:rPr>
          <w:i/>
          <w:iCs/>
        </w:rPr>
        <w:t>. Los representantes gremiales gozarán de las garantías necesarias para el cumplimiento de su gestión sindical y las relacionadas con la estabilidad de su empleo</w:t>
      </w:r>
      <w:r w:rsidRPr="007D2659">
        <w:t>” (la negrita es intencional).</w:t>
      </w:r>
    </w:p>
  </w:footnote>
  <w:footnote w:id="19">
    <w:p w14:paraId="31CC7A79" w14:textId="1154D847" w:rsidR="000B58BD" w:rsidRPr="007D2659" w:rsidRDefault="000B58BD" w:rsidP="007D2659">
      <w:pPr>
        <w:pStyle w:val="Textonotapie"/>
        <w:spacing w:line="276" w:lineRule="auto"/>
        <w:jc w:val="both"/>
      </w:pPr>
      <w:r w:rsidRPr="007D2659">
        <w:rPr>
          <w:rStyle w:val="Refdenotaalpie"/>
        </w:rPr>
        <w:footnoteRef/>
      </w:r>
      <w:r w:rsidRPr="007D2659">
        <w:t xml:space="preserve"> Si bien sólo votaron 3 de los 5 ministros, puede decirse que fue un fallo unánime ya que los 2 que no lo suscribieron se abstuvieron de votar. Esos 3 jueces siguen siendo al día de hoy jueces del Máximo Tribunal, dato relevante para evaluar la vigencia actual de la doctrina fijada.</w:t>
      </w:r>
    </w:p>
  </w:footnote>
  <w:footnote w:id="20">
    <w:p w14:paraId="58A82E86" w14:textId="75D118D8" w:rsidR="000B58BD" w:rsidRPr="007D2659" w:rsidRDefault="000B58BD" w:rsidP="007D2659">
      <w:pPr>
        <w:pStyle w:val="Textonotapie"/>
        <w:spacing w:line="276" w:lineRule="auto"/>
        <w:jc w:val="both"/>
      </w:pPr>
      <w:r w:rsidRPr="007D2659">
        <w:rPr>
          <w:rStyle w:val="Refdenotaalpie"/>
        </w:rPr>
        <w:footnoteRef/>
      </w:r>
      <w:r w:rsidRPr="007D2659">
        <w:t xml:space="preserve"> Art. 17 LCT “</w:t>
      </w:r>
      <w:r w:rsidRPr="007D2659">
        <w:rPr>
          <w:i/>
          <w:iCs/>
        </w:rPr>
        <w:t>Por esta ley se prohíbe cualquier tipo de discriminación entre los trabajadores por motivo de sexo, raza, nacionalidad, religiosos, políticos, gremiales o de edad</w:t>
      </w:r>
      <w:r w:rsidRPr="007D2659">
        <w:t>”.</w:t>
      </w:r>
    </w:p>
  </w:footnote>
  <w:footnote w:id="21">
    <w:p w14:paraId="5BFA2B71" w14:textId="2343ECB9" w:rsidR="000B58BD" w:rsidRPr="007D2659" w:rsidRDefault="000B58BD" w:rsidP="007D2659">
      <w:pPr>
        <w:pStyle w:val="Textonotapie"/>
        <w:spacing w:line="276" w:lineRule="auto"/>
        <w:jc w:val="both"/>
      </w:pPr>
      <w:r w:rsidRPr="007D2659">
        <w:rPr>
          <w:rStyle w:val="Refdenotaalpie"/>
        </w:rPr>
        <w:footnoteRef/>
      </w:r>
      <w:r w:rsidRPr="007D2659">
        <w:t xml:space="preserve"> Art. 81 LCT: “</w:t>
      </w:r>
      <w:r w:rsidRPr="007D2659">
        <w:rPr>
          <w:i/>
          <w:iCs/>
        </w:rPr>
        <w:t>El empleador debe dispensar a todos los trabajadores igual trato en identidad de situaciones. Se considerará que existe trato desigual cuando se produzcan discriminaciones arbitrarias fundadas en razones de sexo, religión o raza, pero no cuando el diferente tratamiento responda a principios de bien común, como el que se sustente en la mayor eficacia, laboriosidad o contracción a sus tareas por parte del trabajador</w:t>
      </w:r>
      <w:r w:rsidRPr="007D2659">
        <w:t>”.</w:t>
      </w:r>
    </w:p>
  </w:footnote>
  <w:footnote w:id="22">
    <w:p w14:paraId="416C01A2" w14:textId="0AB7517A" w:rsidR="000B58BD" w:rsidRPr="007D2659" w:rsidRDefault="000B58BD" w:rsidP="007D2659">
      <w:pPr>
        <w:pStyle w:val="Textonotapie"/>
        <w:spacing w:line="276" w:lineRule="auto"/>
        <w:jc w:val="both"/>
      </w:pPr>
      <w:r w:rsidRPr="007D2659">
        <w:rPr>
          <w:rStyle w:val="Refdenotaalpie"/>
        </w:rPr>
        <w:footnoteRef/>
      </w:r>
      <w:r w:rsidRPr="007D2659">
        <w:t xml:space="preserve"> Téngase en cuenta que, como quedó dicho en el acápite 1 de esta exposición, la ley de Asociaciones Profesionales de Trabajadores sólo confiere tutela sindical a los candidatos, delegados del personal y representantes sindicales de las entidades que gocen de “personería gremial”. Todos los demás dirigentes y activistas quedan al margen de dicha ley y el novedoso régimen de la ley 23.592 les vino a dar un arma más rápida y efectiva que el planteo de inconstitucionalidad de aquella primera norma. De hecho, los trabajadores que reclamaron en la causa “Álvarez”, como luego explicaré, eran activistas que estaban creando una asociación sindical simplemente inscripta y, por ende, la ley 23.551 no les daba protección en su actividad sindical.</w:t>
      </w:r>
    </w:p>
  </w:footnote>
  <w:footnote w:id="23">
    <w:p w14:paraId="17A04BA6" w14:textId="09DDF5FF" w:rsidR="000B58BD" w:rsidRPr="007D2659" w:rsidRDefault="000B58BD" w:rsidP="007D2659">
      <w:pPr>
        <w:pStyle w:val="Textonotapie"/>
        <w:spacing w:line="276" w:lineRule="auto"/>
        <w:jc w:val="both"/>
      </w:pPr>
      <w:r w:rsidRPr="007D2659">
        <w:rPr>
          <w:rStyle w:val="Refdenotaalpie"/>
        </w:rPr>
        <w:footnoteRef/>
      </w:r>
      <w:r w:rsidRPr="007D2659">
        <w:t xml:space="preserve"> Aludo a los supuestos de discriminación en el empleo por razones de sexo y los muy escasos en Argentina de discriminaciones nacidas de la religión.</w:t>
      </w:r>
    </w:p>
  </w:footnote>
  <w:footnote w:id="24">
    <w:p w14:paraId="40B967C3" w14:textId="4BA1B5D1" w:rsidR="000B58BD" w:rsidRPr="007D2659" w:rsidRDefault="000B58BD" w:rsidP="007D2659">
      <w:pPr>
        <w:pStyle w:val="Textonotapie"/>
        <w:spacing w:line="276" w:lineRule="auto"/>
        <w:jc w:val="both"/>
      </w:pPr>
      <w:r w:rsidRPr="007D2659">
        <w:rPr>
          <w:rStyle w:val="Refdenotaalpie"/>
        </w:rPr>
        <w:footnoteRef/>
      </w:r>
      <w:r w:rsidRPr="007D2659">
        <w:t xml:space="preserve"> Como advertí en el capítulo inicial, la Corte Suprema estuvo tradicionalmente integrada por 5 miembros -como actualmente- pero hubo momentos en que su número fue de 9 (1990/2006) y 7, como a la fecha del fallo bajo análisis.</w:t>
      </w:r>
    </w:p>
  </w:footnote>
  <w:footnote w:id="25">
    <w:p w14:paraId="153E9362" w14:textId="785A63AE" w:rsidR="000B58BD" w:rsidRPr="007D2659" w:rsidRDefault="000B58BD" w:rsidP="007D2659">
      <w:pPr>
        <w:pStyle w:val="Textonotapie"/>
        <w:spacing w:line="276" w:lineRule="auto"/>
        <w:jc w:val="both"/>
      </w:pPr>
      <w:r w:rsidRPr="007D2659">
        <w:rPr>
          <w:rStyle w:val="Refdenotaalpie"/>
        </w:rPr>
        <w:footnoteRef/>
      </w:r>
      <w:r w:rsidRPr="007D2659">
        <w:t xml:space="preserve"> Formaron mayoría los jueces Carlos A. Fayt, Enrique S. Petracchi, Juan C. Maqueda y Raúl E. Zaffaroni. De esos 4 magistrados, sólo el juez Maqueda permanece hoy en el Alto Tribunal.</w:t>
      </w:r>
    </w:p>
  </w:footnote>
  <w:footnote w:id="26">
    <w:p w14:paraId="1EC642D5" w14:textId="3D474A2F" w:rsidR="000B58BD" w:rsidRPr="007D2659" w:rsidRDefault="000B58BD" w:rsidP="007D2659">
      <w:pPr>
        <w:pStyle w:val="Textonotapie"/>
        <w:spacing w:line="276" w:lineRule="auto"/>
        <w:jc w:val="both"/>
      </w:pPr>
      <w:r w:rsidRPr="007D2659">
        <w:rPr>
          <w:rStyle w:val="Refdenotaalpie"/>
        </w:rPr>
        <w:footnoteRef/>
      </w:r>
      <w:r w:rsidRPr="007D2659">
        <w:t xml:space="preserve"> Votaron en minoría los ministros Luis Lorenzetti, Elena Highton y Carmen Argibay. Permanecen actualmente en la Corte Suprema los jueces Lorenzetti y Highton.</w:t>
      </w:r>
    </w:p>
  </w:footnote>
  <w:footnote w:id="27">
    <w:p w14:paraId="6344FD6D" w14:textId="16159F80" w:rsidR="000B58BD" w:rsidRPr="007D2659" w:rsidRDefault="000B58BD" w:rsidP="007D2659">
      <w:pPr>
        <w:pStyle w:val="Textonotapie"/>
        <w:spacing w:line="276" w:lineRule="auto"/>
        <w:jc w:val="both"/>
      </w:pPr>
      <w:r w:rsidRPr="007D2659">
        <w:rPr>
          <w:rStyle w:val="Refdenotaalpie"/>
        </w:rPr>
        <w:footnoteRef/>
      </w:r>
      <w:r w:rsidRPr="007D2659">
        <w:t xml:space="preserve"> En “De Luca, José E. y otro c/ Banco Francés del Rio de la Plata”, del 25/02/1969 la Corte Federal declaró en el pasado contrario a la garantía de la propiedad contenida en el art. 17 de la Constitución Nacional la obligación  de reincorporación impuesta por el art. 6°, apartado 3° del decreto 20.268/46, reglamentario de la ley 12.637, por considerar exorbitante y falto de razonabilidad que el despido injustificado de un empleado bancario pueda acarrear para el empleador, que no se aviene a reincorporarlo, la obligación de pagarle, de por vida, los sueldos que hubieren podido corresponderle hasta que alcance el derecho a la jubilación.</w:t>
      </w:r>
    </w:p>
  </w:footnote>
  <w:footnote w:id="28">
    <w:p w14:paraId="118A4AD6" w14:textId="271F9E71" w:rsidR="000B58BD" w:rsidRPr="007D2659" w:rsidRDefault="000B58BD" w:rsidP="007D2659">
      <w:pPr>
        <w:pStyle w:val="Textonotapie"/>
        <w:spacing w:line="276" w:lineRule="auto"/>
        <w:jc w:val="both"/>
        <w:rPr>
          <w:i/>
          <w:iCs/>
        </w:rPr>
      </w:pPr>
      <w:r w:rsidRPr="007D2659">
        <w:rPr>
          <w:rStyle w:val="Refdenotaalpie"/>
        </w:rPr>
        <w:footnoteRef/>
      </w:r>
      <w:r w:rsidRPr="007D2659">
        <w:t xml:space="preserve"> Art. 17 Constitución Nacional argentina: “</w:t>
      </w:r>
      <w:r w:rsidRPr="007D2659">
        <w:rPr>
          <w:i/>
          <w:iCs/>
        </w:rPr>
        <w:t>La propiedad es inviolable, y ningún habitante de la Nación puede ser privado de ella, sino en virtud de sentencia fundada en ley. La expropiación por causa de utilidad pública, debe ser calificada por ley y previamente indemnizada. Sólo el Congreso impone las contribuciones que se expresan en el artículo 4º. Ningún servicio personal es exigible, sino en virtud de ley o de sentencia fundada en ley. Todo autor o inventor es propietario exclusivo de su obra, invento o descubrimiento, por el término que le acuerde la ley. La confiscación de bienes queda borrada para siempre del Código Penal argentino. Ningún cuerpo armado puede hacer requisiciones, ni exigir auxilios de ninguna especie”.</w:t>
      </w:r>
    </w:p>
  </w:footnote>
  <w:footnote w:id="29">
    <w:p w14:paraId="04EDA625" w14:textId="00F2F76A" w:rsidR="000B58BD" w:rsidRPr="007D2659" w:rsidRDefault="000B58BD" w:rsidP="007D2659">
      <w:pPr>
        <w:pStyle w:val="Textonotapie"/>
        <w:spacing w:line="276" w:lineRule="auto"/>
        <w:jc w:val="both"/>
      </w:pPr>
      <w:r w:rsidRPr="007D2659">
        <w:rPr>
          <w:rStyle w:val="Refdenotaalpie"/>
        </w:rPr>
        <w:footnoteRef/>
      </w:r>
      <w:r w:rsidRPr="007D2659">
        <w:t xml:space="preserve"> El voto alude a la reforma que en 1994 modificó la Constitución Nacional, y que ahora, en su art. 75 inciso 22, dispone que a) </w:t>
      </w:r>
      <w:r w:rsidRPr="007D2659">
        <w:rPr>
          <w:i/>
          <w:iCs/>
          <w:u w:val="single"/>
        </w:rPr>
        <w:t>los tratados y concordatos tienen jerarquía superior a las leyes</w:t>
      </w:r>
      <w:r w:rsidRPr="007D2659">
        <w:t xml:space="preserve">; b) que los siguientes instrumentos internacionales poseen  </w:t>
      </w:r>
      <w:r w:rsidRPr="007D2659">
        <w:rPr>
          <w:i/>
          <w:iCs/>
          <w:u w:val="single"/>
        </w:rPr>
        <w:t>jerarquía constitucional</w:t>
      </w:r>
      <w:r w:rsidRPr="007D2659">
        <w:t xml:space="preserve">: </w:t>
      </w:r>
      <w:r w:rsidRPr="007D2659">
        <w:rPr>
          <w:i/>
          <w:iCs/>
        </w:rPr>
        <w:t>la Declaración Americana de los Derechos y Deberes del Hombre; la Declaración Universal de Derechos Humanos; la Convención Americana sobre Derechos Humanos; el Pacto Internacional de Derechos Económicos, Sociales y Culturales; el Pacto Internacional de Derechos Civiles y Políticos y su Protocolo Facultativo; la Convención sobre la Prevención y la Sanción del Delito de Genocidio; la Convención Internacional sobre la Eliminación de todas las Formas de Discriminación Racial; la Convención sobre la Eliminación de todas las Formas de Discriminación contra la Mujer; la Convención contra la Tortura y otros Tratos o Penas Crueles, Inhumanos o Degradantes; y la Convención sobre los Derechos del Niño</w:t>
      </w:r>
      <w:r w:rsidRPr="007D2659">
        <w:t xml:space="preserve">; y c) que </w:t>
      </w:r>
      <w:r w:rsidRPr="007D2659">
        <w:rPr>
          <w:u w:val="single"/>
        </w:rPr>
        <w:t>también tendrán jerarquía constitucional</w:t>
      </w:r>
      <w:r w:rsidRPr="007D2659">
        <w:rPr>
          <w:i/>
          <w:iCs/>
        </w:rPr>
        <w:t xml:space="preserve"> los demás tratados y convenciones sobre derechos humanos</w:t>
      </w:r>
      <w:r w:rsidRPr="007D2659">
        <w:t>, que sean  aprobados por el Congreso con el voto de las dos terceras partes de la totalidad de los miembros de cada Cámara. VER SI ESTO NO DEBIERA IR EN EL INICIO O EM AMBOS LUGARES.</w:t>
      </w:r>
    </w:p>
  </w:footnote>
  <w:footnote w:id="30">
    <w:p w14:paraId="2DC29D36" w14:textId="6CAA0C47" w:rsidR="000B58BD" w:rsidRPr="007D2659" w:rsidRDefault="000B58BD" w:rsidP="007D2659">
      <w:pPr>
        <w:pStyle w:val="Textonotapie"/>
        <w:spacing w:line="276" w:lineRule="auto"/>
        <w:jc w:val="both"/>
      </w:pPr>
      <w:r w:rsidRPr="007D2659">
        <w:rPr>
          <w:rStyle w:val="Refdenotaalpie"/>
        </w:rPr>
        <w:footnoteRef/>
      </w:r>
      <w:r w:rsidRPr="007D2659">
        <w:t xml:space="preserve"> “Figueroa, Oscar Félix y otro c/ c / Loma Negra SA” del 04/09/1984, en el que la Corte Suprema calificó de arbitraria la sentencia que ordenara la reincorporación de los actores con una interpretación irrazonable del art. 56 del Convenio Colectivo Nº 40/75 de la Industria del Cemento más el pago de los salarios caídos desde el despido hasta la reincorporación y que estableciera que, ante la  negativa a las reinstalaciones, se pagaran tales salarios mientras continuara vigente la relación laboral. A juicio del Alto Tribunal lo así decidido </w:t>
      </w:r>
      <w:r w:rsidRPr="007D2659">
        <w:rPr>
          <w:i/>
          <w:iCs/>
        </w:rPr>
        <w:t>suprime el poder discrecional que es imprescindible reconocer a los empleadores en lo concerniente a la integración de su personal, con menoscabo de la garantía del art. 14 de la Constitución que consagra la libertad de comercio e industria</w:t>
      </w:r>
      <w:r w:rsidRPr="007D2659">
        <w:t>.</w:t>
      </w:r>
    </w:p>
  </w:footnote>
  <w:footnote w:id="31">
    <w:p w14:paraId="05248C6C" w14:textId="7F755C13" w:rsidR="000B58BD" w:rsidRPr="007D2659" w:rsidRDefault="000B58BD" w:rsidP="007D2659">
      <w:pPr>
        <w:pStyle w:val="Textonotapie"/>
        <w:spacing w:line="276" w:lineRule="auto"/>
        <w:jc w:val="both"/>
      </w:pPr>
      <w:r w:rsidRPr="007D2659">
        <w:rPr>
          <w:rStyle w:val="Refdenotaalpie"/>
        </w:rPr>
        <w:footnoteRef/>
      </w:r>
      <w:r w:rsidRPr="007D2659">
        <w:t xml:space="preserve"> Conviene dejar apuntado que la cuestión atinente a la configuración del despido como discriminatorio por tener motivación gremial que fuera verificada en la sentencia de primera instancia y confirmada por la Cámara, por las razones reseñadas en el capítulo II de este trabajo, no resultaba revisable por la Corte Suprema por tratarse cuestiones de hecho reservadas exclusivamente a las instancias ordinarias, salvo que mediare arbitrariedad.</w:t>
      </w:r>
    </w:p>
  </w:footnote>
  <w:footnote w:id="32">
    <w:p w14:paraId="61C475ED" w14:textId="02BA395B" w:rsidR="000B58BD" w:rsidRPr="007D2659" w:rsidRDefault="000B58BD" w:rsidP="007D2659">
      <w:pPr>
        <w:pStyle w:val="Textonotapie"/>
        <w:spacing w:line="276" w:lineRule="auto"/>
        <w:jc w:val="both"/>
      </w:pPr>
      <w:r w:rsidRPr="007D2659">
        <w:rPr>
          <w:rStyle w:val="Refdenotaalpie"/>
        </w:rPr>
        <w:footnoteRef/>
      </w:r>
      <w:r w:rsidRPr="007D2659">
        <w:t xml:space="preserve"> Según dicha regla constitucional nadie puede ser obligado a hacer lo que la ley no manda ni privado de hacer lo que la ley no prohíbe.</w:t>
      </w:r>
    </w:p>
  </w:footnote>
  <w:footnote w:id="33">
    <w:p w14:paraId="54CA2B07" w14:textId="617C6FFC" w:rsidR="000B58BD" w:rsidRPr="007D2659" w:rsidRDefault="000B58BD" w:rsidP="007D2659">
      <w:pPr>
        <w:pStyle w:val="Textonotapie"/>
        <w:spacing w:line="276" w:lineRule="auto"/>
        <w:jc w:val="both"/>
      </w:pPr>
      <w:r w:rsidRPr="007D2659">
        <w:rPr>
          <w:rStyle w:val="Refdenotaalpie"/>
        </w:rPr>
        <w:footnoteRef/>
      </w:r>
      <w:r w:rsidRPr="007D2659">
        <w:t xml:space="preserve"> Formaron mayoría los jueces Fayt, Petracchi, Maqueda y Zaffaroni.</w:t>
      </w:r>
    </w:p>
  </w:footnote>
  <w:footnote w:id="34">
    <w:p w14:paraId="124B4F1F" w14:textId="53A2112B" w:rsidR="000B58BD" w:rsidRPr="007D2659" w:rsidRDefault="000B58BD" w:rsidP="007D2659">
      <w:pPr>
        <w:pStyle w:val="Textonotapie"/>
        <w:spacing w:line="276" w:lineRule="auto"/>
        <w:jc w:val="both"/>
      </w:pPr>
      <w:r w:rsidRPr="007D2659">
        <w:rPr>
          <w:rStyle w:val="Refdenotaalpie"/>
        </w:rPr>
        <w:footnoteRef/>
      </w:r>
      <w:r w:rsidRPr="007D2659">
        <w:t xml:space="preserve"> En esta decisión no votó el juez Lorenzetti.</w:t>
      </w:r>
    </w:p>
  </w:footnote>
  <w:footnote w:id="35">
    <w:p w14:paraId="4E8A5643" w14:textId="4C9C85B4" w:rsidR="000B58BD" w:rsidRPr="007D2659" w:rsidRDefault="000B58BD" w:rsidP="007D2659">
      <w:pPr>
        <w:pStyle w:val="Textonotapie"/>
        <w:spacing w:line="276" w:lineRule="auto"/>
        <w:jc w:val="both"/>
      </w:pPr>
      <w:r w:rsidRPr="007D2659">
        <w:rPr>
          <w:rStyle w:val="Refdenotaalpie"/>
        </w:rPr>
        <w:footnoteRef/>
      </w:r>
      <w:r w:rsidRPr="007D2659">
        <w:t xml:space="preserve"> La ley 14.250 es la que rige la negociación colectiva en el ámbito privado. En cambio, la negociación colectiva para el sector público ha sido regulada por la ley 24.185.</w:t>
      </w:r>
    </w:p>
  </w:footnote>
  <w:footnote w:id="36">
    <w:p w14:paraId="43577E5F" w14:textId="70E2808F" w:rsidR="000B58BD" w:rsidRPr="007D2659" w:rsidRDefault="000B58BD" w:rsidP="007D2659">
      <w:pPr>
        <w:pStyle w:val="Textonotapie"/>
        <w:spacing w:line="276" w:lineRule="auto"/>
        <w:jc w:val="both"/>
      </w:pPr>
      <w:r w:rsidRPr="007D2659">
        <w:rPr>
          <w:rStyle w:val="Refdenotaalpie"/>
        </w:rPr>
        <w:footnoteRef/>
      </w:r>
      <w:r w:rsidRPr="007D2659">
        <w:t xml:space="preserve"> Es conveniente indicar que los agravios que dedujo la demandada contra la decisión de la Cámara que consideró injustificados los reproches empleados para despedir a la trabajadora no resultaban pasibles de la revisión extraordinaria pues versaban sobre la consideración de hechos y de pruebas de exclusiva competencia de los tribunales ordinarios, salvo arbitrariedad en los términos antes explicados.</w:t>
      </w:r>
    </w:p>
  </w:footnote>
  <w:footnote w:id="37">
    <w:p w14:paraId="4E27B229" w14:textId="049323BF" w:rsidR="000B58BD" w:rsidRPr="007D2659" w:rsidRDefault="000B58BD" w:rsidP="007D2659">
      <w:pPr>
        <w:pStyle w:val="Textonotapie"/>
        <w:spacing w:line="276" w:lineRule="auto"/>
        <w:jc w:val="both"/>
      </w:pPr>
      <w:r w:rsidRPr="007D2659">
        <w:rPr>
          <w:rStyle w:val="Refdenotaalpie"/>
        </w:rPr>
        <w:footnoteRef/>
      </w:r>
      <w:r w:rsidRPr="007D2659">
        <w:t xml:space="preserve"> El art. 16 de la Constitución Nacional reza, en lo que aquí interesa, así: “</w:t>
      </w:r>
      <w:r w:rsidRPr="007D2659">
        <w:rPr>
          <w:i/>
          <w:iCs/>
        </w:rPr>
        <w:t xml:space="preserve">Todos sus habitantes son iguales ante la ley, y </w:t>
      </w:r>
      <w:r w:rsidRPr="007D2659">
        <w:rPr>
          <w:b/>
          <w:bCs/>
          <w:i/>
          <w:iCs/>
        </w:rPr>
        <w:t>admisibles en los empleos sin otra condición que la idoneidad</w:t>
      </w:r>
      <w:r w:rsidRPr="007D2659">
        <w:rPr>
          <w:i/>
          <w:iCs/>
        </w:rPr>
        <w:t>. La igualdad es la base del impuesto y de las cargas públicas</w:t>
      </w:r>
      <w:r w:rsidRPr="007D2659">
        <w:t>” (la negrita es intencional</w:t>
      </w:r>
      <w:r w:rsidR="0080032F" w:rsidRPr="007D2659">
        <w:t>).</w:t>
      </w:r>
    </w:p>
  </w:footnote>
  <w:footnote w:id="38">
    <w:p w14:paraId="700CDD41" w14:textId="76D87F3A" w:rsidR="000B58BD" w:rsidRPr="007D2659" w:rsidRDefault="000B58BD" w:rsidP="007D2659">
      <w:pPr>
        <w:pStyle w:val="Textonotapie"/>
        <w:spacing w:line="276" w:lineRule="auto"/>
        <w:jc w:val="both"/>
      </w:pPr>
      <w:r w:rsidRPr="007D2659">
        <w:rPr>
          <w:rStyle w:val="Refdenotaalpie"/>
        </w:rPr>
        <w:footnoteRef/>
      </w:r>
      <w:r w:rsidRPr="007D2659">
        <w:t xml:space="preserve"> Me parece interesante apuntar que, evidentemente, el Máximo Tribunal quiso en este precedente hacer una fuerte declaratoria sobre los límites de la negociación colectiva puesto que a igual solución se hubiera podido llegar sin necesidad de la solución extrema de la declaración de inconstitucionalidad puesto que, dado que al caso le eran aplicables, por lo antes dicho, las normas de la Ley de Contrato de Trabajo, según la regla del art. 9, que cristaliza la regla de la aplicación de la norma más favorable derivada del principio protectorio, podría haber sido dejada en pie la validez del Convenio Colectivo pero, en la medida que la agente pública demandante tenía incorporado a su patrimonio jurídico la garantía nacida del art. 14 bis de la Constitución Nacional, que se daba una situación de pluralidad de normas aplicables: la regla constitucional y la norma convencional, y que dicha situación debía ser resuelta seleccionando la norma más favorable, es decir el derecho a la estabilidad propia.</w:t>
      </w:r>
    </w:p>
  </w:footnote>
  <w:footnote w:id="39">
    <w:p w14:paraId="73373BE9" w14:textId="671B97A5" w:rsidR="000B58BD" w:rsidRPr="007D2659" w:rsidRDefault="000B58BD" w:rsidP="007D2659">
      <w:pPr>
        <w:pStyle w:val="Textonotapie"/>
        <w:spacing w:line="276" w:lineRule="auto"/>
        <w:jc w:val="both"/>
      </w:pPr>
      <w:r w:rsidRPr="007D2659">
        <w:rPr>
          <w:rStyle w:val="Refdenotaalpie"/>
        </w:rPr>
        <w:footnoteRef/>
      </w:r>
      <w:r w:rsidRPr="007D2659">
        <w:t xml:space="preserve"> DGI son las siglas de la Dirección General Impositiva, Dirección que, así como la Administración Nacional de Aduanas, fueron integradas a un supra organismo denominado Administración Federal de Ingresos Públicos.</w:t>
      </w:r>
    </w:p>
  </w:footnote>
  <w:footnote w:id="40">
    <w:p w14:paraId="79242A2B" w14:textId="5E485F8E" w:rsidR="000B58BD" w:rsidRPr="007D2659" w:rsidRDefault="000B58BD" w:rsidP="007D2659">
      <w:pPr>
        <w:pStyle w:val="Textonotapie"/>
        <w:spacing w:line="276" w:lineRule="auto"/>
        <w:jc w:val="both"/>
      </w:pPr>
      <w:r w:rsidRPr="007D2659">
        <w:rPr>
          <w:rStyle w:val="Refdenotaalpie"/>
        </w:rPr>
        <w:footnoteRef/>
      </w:r>
      <w:r w:rsidRPr="007D2659">
        <w:t xml:space="preserve"> La demandada había planteado que Casa de Moneda es una Sociedad del Estado creada por la ley 21.622, cuyo art.  3° establece que se rige por las disposiciones de la leyes de Sociedades Comerciales 19.550 y de Sociedades del Estado 20.705 y que, por ende, su personal se encuentra sometido al régimen de la LCT. Por las razones que he señalado más arriba, mientras describía el fallo “Madorrán”, puede entenderse que se reproche al Tribunal a quo no haber dado una respuesta a ese argumento pero me parece importante dejar aclarado que, en cuanto al fondo de esa argumentación, carecería de relevancia que la Sociedad del Estado haya optado por aplicar a su personal el derecho privado en la medida que tal sociedad sea propiedad exclusiva del Estado y desarrolle actividad estatal, con lo que sus empleados deberían considerarse en principio empleados públicos. </w:t>
      </w:r>
    </w:p>
  </w:footnote>
  <w:footnote w:id="41">
    <w:p w14:paraId="63097575" w14:textId="76C6852A" w:rsidR="000B58BD" w:rsidRPr="007D2659" w:rsidRDefault="000B58BD" w:rsidP="007D2659">
      <w:pPr>
        <w:pStyle w:val="Textonotapie"/>
        <w:spacing w:line="276" w:lineRule="auto"/>
        <w:jc w:val="both"/>
      </w:pPr>
      <w:r w:rsidRPr="007D2659">
        <w:rPr>
          <w:rStyle w:val="Refdenotaalpie"/>
        </w:rPr>
        <w:footnoteRef/>
      </w:r>
      <w:r w:rsidRPr="007D2659">
        <w:t xml:space="preserve"> Algunas causas fueron iniciadas y tramitadas por la Justicia Federal en lo Contencioso Administrativo y otras ante los Juzgados y Tribunales del Trabajo de todo el país.</w:t>
      </w:r>
    </w:p>
  </w:footnote>
  <w:footnote w:id="42">
    <w:p w14:paraId="3A44531D" w14:textId="3E8EEE99" w:rsidR="000B58BD" w:rsidRPr="007D2659" w:rsidRDefault="000B58BD" w:rsidP="007D2659">
      <w:pPr>
        <w:pStyle w:val="Textonotapie"/>
        <w:spacing w:line="276" w:lineRule="auto"/>
        <w:jc w:val="both"/>
      </w:pPr>
      <w:r w:rsidRPr="007D2659">
        <w:rPr>
          <w:rStyle w:val="Refdenotaalpie"/>
        </w:rPr>
        <w:footnoteRef/>
      </w:r>
      <w:r w:rsidRPr="007D2659">
        <w:t xml:space="preserve"> Un grupo de reclamantes pedía la tutela de las leyes de Empleo Público considerándose empleados públicos, otro segmento solicitaba la aplicación de esas normas por analogía sin atribuirse la calidad de agentes públicos y, finalmente, un gran número de demandas se plantearon solicitando las indemnizaciones de la Ley de Contrato de Trabajo en forma analógica.</w:t>
      </w:r>
    </w:p>
  </w:footnote>
  <w:footnote w:id="43">
    <w:p w14:paraId="079034B6" w14:textId="251D655A" w:rsidR="000B58BD" w:rsidRPr="007D2659" w:rsidRDefault="000B58BD" w:rsidP="007D2659">
      <w:pPr>
        <w:pStyle w:val="Textonotapie"/>
        <w:spacing w:line="276" w:lineRule="auto"/>
        <w:jc w:val="both"/>
      </w:pPr>
      <w:r w:rsidRPr="007D2659">
        <w:rPr>
          <w:rStyle w:val="Refdenotaalpie"/>
        </w:rPr>
        <w:footnoteRef/>
      </w:r>
      <w:r w:rsidRPr="007D2659">
        <w:t xml:space="preserve"> Dado que las leyes que han ido creando o ampliando los distintos tribunales en general asignaron la plantilla de personal, es inevitable que con el paso del tiempo y el aumento de la litigiosidad esos planteles han devenido insuficientes, por lo que la Corte Suprema, en el plano nacional, ha permitido y realizado contrataciones para sobrellevar tal situación. </w:t>
      </w:r>
    </w:p>
  </w:footnote>
  <w:footnote w:id="44">
    <w:p w14:paraId="1E1F7850" w14:textId="06035ECE" w:rsidR="000B58BD" w:rsidRPr="007D2659" w:rsidRDefault="000B58BD" w:rsidP="007D2659">
      <w:pPr>
        <w:pStyle w:val="Textonotapie"/>
        <w:spacing w:line="276" w:lineRule="auto"/>
        <w:jc w:val="both"/>
      </w:pPr>
      <w:r w:rsidRPr="007D2659">
        <w:rPr>
          <w:rStyle w:val="Refdenotaalpie"/>
        </w:rPr>
        <w:footnoteRef/>
      </w:r>
      <w:r w:rsidRPr="007D2659">
        <w:t xml:space="preserve"> Creo útil indicar aquí que, hasta esta decisión de la Corte Suprema, los distintos Tribunales que intervinieron en gran número de casos análogos mandaron indemnizar la ruptura de la relación de subordinación habida con el Estado en base a la Ley de Contrato de Trabajo.</w:t>
      </w:r>
    </w:p>
  </w:footnote>
  <w:footnote w:id="45">
    <w:p w14:paraId="1CE6E3AB" w14:textId="31987327" w:rsidR="000B58BD" w:rsidRPr="007D2659" w:rsidRDefault="000B58BD" w:rsidP="007D2659">
      <w:pPr>
        <w:pStyle w:val="Textonotapie"/>
        <w:spacing w:line="276" w:lineRule="auto"/>
        <w:jc w:val="both"/>
      </w:pPr>
      <w:r w:rsidRPr="007D2659">
        <w:rPr>
          <w:rStyle w:val="Refdenotaalpie"/>
        </w:rPr>
        <w:footnoteRef/>
      </w:r>
      <w:r w:rsidRPr="007D2659">
        <w:t xml:space="preserve"> Esa indemnización de la ley 25.164 es, de todos modos, similar a la prevista en la Ley de Contrato de Trabajo, aunque el módulo de cálculo -un mes de sueldo por cada año de antigüedad- no está sometido al límite salarial que contiene la ley laboral común.</w:t>
      </w:r>
    </w:p>
  </w:footnote>
  <w:footnote w:id="46">
    <w:p w14:paraId="16027F53" w14:textId="2D94EC26" w:rsidR="000B58BD" w:rsidRPr="007D2659" w:rsidRDefault="000B58BD" w:rsidP="007D2659">
      <w:pPr>
        <w:pStyle w:val="Textonotapie"/>
        <w:spacing w:line="276" w:lineRule="auto"/>
        <w:jc w:val="both"/>
      </w:pPr>
      <w:r w:rsidRPr="007D2659">
        <w:rPr>
          <w:rStyle w:val="Refdenotaalpie"/>
        </w:rPr>
        <w:footnoteRef/>
      </w:r>
      <w:r w:rsidRPr="007D2659">
        <w:t xml:space="preserve"> Al momento de los hechos y de la decisión regía en Argentina el Código Civil conocido como Código Vélez Sarsfield. Este fue reemplazado a partir del 01/08/2015 por nuevo plexo, denominado Código Civil y Comercial unificado que, de todos modos, no ha cambiado dicha regla jurídica.</w:t>
      </w:r>
    </w:p>
  </w:footnote>
  <w:footnote w:id="47">
    <w:p w14:paraId="53C2780B" w14:textId="56565A33" w:rsidR="000B58BD" w:rsidRPr="007D2659" w:rsidRDefault="000B58BD" w:rsidP="007D2659">
      <w:pPr>
        <w:pStyle w:val="Textonotapie"/>
        <w:spacing w:line="276" w:lineRule="auto"/>
        <w:jc w:val="both"/>
      </w:pPr>
      <w:r w:rsidRPr="007D2659">
        <w:rPr>
          <w:rStyle w:val="Refdenotaalpie"/>
        </w:rPr>
        <w:footnoteRef/>
      </w:r>
      <w:r w:rsidRPr="007D2659">
        <w:t xml:space="preserve"> Cabe dejar aclarado que en estos precedentes hay algunas diferencias sobre la extensión de la reparación patrimonial, ya que en algunos de los fallos a la indemnización por extinción del contrato de la ley 25.164 se añadió la sustitución del preaviso, pero considero que estos matices no justifican extender estas consideraciones en las que estoy destacando la esencia de las doctrinas fijadas por la Corte Suprema argentina.</w:t>
      </w:r>
    </w:p>
  </w:footnote>
  <w:footnote w:id="48">
    <w:p w14:paraId="1CFE4342" w14:textId="0FDEEA2F" w:rsidR="000B58BD" w:rsidRPr="007D2659" w:rsidRDefault="000B58BD" w:rsidP="007D2659">
      <w:pPr>
        <w:pStyle w:val="Textonotapie"/>
        <w:spacing w:line="276" w:lineRule="auto"/>
        <w:jc w:val="both"/>
      </w:pPr>
      <w:r w:rsidRPr="007D2659">
        <w:rPr>
          <w:rStyle w:val="Refdenotaalpie"/>
        </w:rPr>
        <w:footnoteRef/>
      </w:r>
      <w:r w:rsidRPr="007D2659">
        <w:t xml:space="preserve"> Esta presunción es análoga a la que establecen el art. 8 apartado 1 del Estatuto de los Trabajadores del Reino de España, que manda presumir la existencia de un  contrato de trabajo “entre todo el que presta un servicio por cuenta y dentro del ámbito de organización y dirección de otro…”; el art. 24 del Código Sustantivo del Trabajo de Colombia; art. 18 del Código de Trabajo de la República Federativa de Brasil; art. 8 del Código del Trabajo de Chile; art. 19 del Código de Trabajo de Paraguay; etc. etc.</w:t>
      </w:r>
    </w:p>
  </w:footnote>
  <w:footnote w:id="49">
    <w:p w14:paraId="0FA5D199" w14:textId="620DFC39" w:rsidR="000B58BD" w:rsidRPr="007D2659" w:rsidRDefault="000B58BD" w:rsidP="007D2659">
      <w:pPr>
        <w:pStyle w:val="Textonotapie"/>
        <w:spacing w:line="276" w:lineRule="auto"/>
        <w:jc w:val="both"/>
      </w:pPr>
      <w:r w:rsidRPr="007D2659">
        <w:rPr>
          <w:rStyle w:val="Refdenotaalpie"/>
        </w:rPr>
        <w:footnoteRef/>
      </w:r>
      <w:r w:rsidRPr="007D2659">
        <w:t xml:space="preserve"> El art. 25 LCT considera "trabajador" a la persona física que se obligue o preste servicios en las condiciones previstas en los artículos 21 y 22, cualesquiera que sean las modalidades de la prestación.</w:t>
      </w:r>
    </w:p>
  </w:footnote>
  <w:footnote w:id="50">
    <w:p w14:paraId="1D0FC37C" w14:textId="700AE940" w:rsidR="000B58BD" w:rsidRPr="007D2659" w:rsidRDefault="000B58BD" w:rsidP="007D2659">
      <w:pPr>
        <w:pStyle w:val="Textonotapie"/>
        <w:spacing w:line="276" w:lineRule="auto"/>
        <w:jc w:val="both"/>
      </w:pPr>
      <w:r w:rsidRPr="007D2659">
        <w:rPr>
          <w:rStyle w:val="Refdenotaalpie"/>
        </w:rPr>
        <w:footnoteRef/>
      </w:r>
      <w:r w:rsidRPr="007D2659">
        <w:t xml:space="preserve"> Es útil apuntar que la demanda fue iniciada por el propio Dr. Estala, quien falleciera durante la tramitación del pleito.</w:t>
      </w:r>
    </w:p>
  </w:footnote>
  <w:footnote w:id="51">
    <w:p w14:paraId="54D57CD1" w14:textId="712871DD" w:rsidR="000B58BD" w:rsidRPr="007D2659" w:rsidRDefault="000B58BD" w:rsidP="007D2659">
      <w:pPr>
        <w:pStyle w:val="Textonotapie"/>
        <w:spacing w:line="276" w:lineRule="auto"/>
        <w:jc w:val="both"/>
      </w:pPr>
      <w:r w:rsidRPr="007D2659">
        <w:rPr>
          <w:rStyle w:val="Refdenotaalpie"/>
        </w:rPr>
        <w:footnoteRef/>
      </w:r>
      <w:r w:rsidRPr="007D2659">
        <w:t xml:space="preserve"> El art. 16 de la ley 48, Ley de Jurisdicción y Competencia de los Tribunales Nacionales, dispone que “</w:t>
      </w:r>
      <w:r w:rsidRPr="007D2659">
        <w:rPr>
          <w:i/>
          <w:iCs/>
        </w:rPr>
        <w:t xml:space="preserve">En los recursos que tratan los dos artículos anteriores, cuando la Corte Suprema revoque, </w:t>
      </w:r>
      <w:r w:rsidRPr="007D2659">
        <w:rPr>
          <w:b/>
          <w:bCs/>
          <w:i/>
          <w:iCs/>
        </w:rPr>
        <w:t>hará una declaratoria sobre el punto disputado, y devolverá la causa para que sea nuevamente juzgada; o bien resolverá sobre el fondo</w:t>
      </w:r>
      <w:r w:rsidRPr="007D2659">
        <w:rPr>
          <w:i/>
          <w:iCs/>
        </w:rPr>
        <w:t xml:space="preserve">, y aun podrá ordenar la ejecución especialmente si la causa hubiese sido una vez devuelta por idéntica razón” </w:t>
      </w:r>
      <w:r w:rsidRPr="007D2659">
        <w:rPr>
          <w:b/>
          <w:bCs/>
          <w:i/>
          <w:iCs/>
        </w:rPr>
        <w:t>(la negrita me pertenece)</w:t>
      </w:r>
      <w:r w:rsidRPr="007D2659">
        <w:t>. El art. 14 al que alude establece los supuestos de procedencia formal del recurso extraordinario: 1° Cuando en el pleito se haya puesto en cuestión la validez de un Tratado, de una ley del Congreso, o de una autoridad ejercida en nombre de la Nación y la decisión haya sido contra su validez; 2° Cuando la validez de una ley, decreto o autoridad de Provincia se haya puesto en cuestión bajo la pretensión de ser repugnante a la Constitución Nacional, a los Tratados o leyes del Congreso, y la decisión haya sido en favor de la validez de la ley o autoridad de provincia; 3° Cuando la inteligencia de alguna cláusula de la Constitución, o de un Tratado o ley del Congreso, o una comisión ejercida en nombre de la autoridad nacional haya sido cuestionada y la decisión sea contra la validez del título, derecho; privilegio o exención que se funda en dicha cláusula y sea materia de litigio. El art. 16 de la ley 48 regula las exigencias adjetivas de ese recurso y aclara que “…la interpretación o aplicaciones que los tribunales de provincia hicieren de los códigos Civil, Penal, Comercial y de Minería, no dará ocasión a este recurso por el hecho de ser leyes del Congreso, en virtud de lo dispuesto en el inciso 11, artículo 67 de la Constitución” (hoy art. 75 inc. 12).</w:t>
      </w:r>
    </w:p>
  </w:footnote>
  <w:footnote w:id="52">
    <w:p w14:paraId="35E6D0E0" w14:textId="617100C2" w:rsidR="000B58BD" w:rsidRPr="007D2659" w:rsidRDefault="000B58BD" w:rsidP="007D2659">
      <w:pPr>
        <w:pStyle w:val="Textonotapie"/>
        <w:spacing w:line="276" w:lineRule="auto"/>
        <w:jc w:val="both"/>
      </w:pPr>
      <w:r w:rsidRPr="007D2659">
        <w:rPr>
          <w:rStyle w:val="Refdenotaalpie"/>
        </w:rPr>
        <w:footnoteRef/>
      </w:r>
      <w:r w:rsidRPr="007D2659">
        <w:t xml:space="preserve"> Como ya fue dicho, el Código Civil fue desplazado por el actual Código Civil y Comercial unificado que también regula el contrato de locación.</w:t>
      </w:r>
    </w:p>
  </w:footnote>
  <w:footnote w:id="53">
    <w:p w14:paraId="31E59F88" w14:textId="0E1BD6FE" w:rsidR="000B58BD" w:rsidRPr="007D2659" w:rsidRDefault="000B58BD" w:rsidP="007D2659">
      <w:pPr>
        <w:pStyle w:val="Textonotapie"/>
        <w:spacing w:line="276" w:lineRule="auto"/>
        <w:jc w:val="both"/>
      </w:pPr>
      <w:r w:rsidRPr="007D2659">
        <w:rPr>
          <w:rStyle w:val="Refdenotaalpie"/>
        </w:rPr>
        <w:footnoteRef/>
      </w:r>
      <w:r w:rsidRPr="007D2659">
        <w:t xml:space="preserve"> La Corte Suprema alude los correos electrónicos obrantes en la causa con instrucciones y a los límites a los reintegros por gastos de publicidad planteados por la demandada.</w:t>
      </w:r>
    </w:p>
  </w:footnote>
  <w:footnote w:id="54">
    <w:p w14:paraId="60A5515D" w14:textId="66AAEAD5" w:rsidR="000B58BD" w:rsidRPr="007D2659" w:rsidRDefault="000B58BD" w:rsidP="007D2659">
      <w:pPr>
        <w:pStyle w:val="Textonotapie"/>
        <w:spacing w:line="276" w:lineRule="auto"/>
        <w:jc w:val="both"/>
        <w:rPr>
          <w:i/>
          <w:iCs/>
        </w:rPr>
      </w:pPr>
      <w:r w:rsidRPr="007D2659">
        <w:rPr>
          <w:rStyle w:val="Refdenotaalpie"/>
        </w:rPr>
        <w:footnoteRef/>
      </w:r>
      <w:r w:rsidRPr="007D2659">
        <w:t xml:space="preserve"> El ya mencionado art. 23 LCT, lo reitero aquí, dispone que “</w:t>
      </w:r>
      <w:r w:rsidRPr="007D2659">
        <w:rPr>
          <w:i/>
          <w:iCs/>
        </w:rPr>
        <w:t>El hecho de la prestación de servicios hace presumir la existencia de un contrato de trabajo, salvo que por las circunstancias, las relaciones o causas que lo motiven se demostrase lo contrario.</w:t>
      </w:r>
    </w:p>
    <w:p w14:paraId="7503D8EF" w14:textId="1BCEF70F" w:rsidR="000B58BD" w:rsidRPr="007D2659" w:rsidRDefault="000B58BD" w:rsidP="007D2659">
      <w:pPr>
        <w:pStyle w:val="Textonotapie"/>
        <w:spacing w:line="276" w:lineRule="auto"/>
        <w:jc w:val="both"/>
      </w:pPr>
      <w:r w:rsidRPr="007D2659">
        <w:rPr>
          <w:i/>
          <w:iCs/>
        </w:rPr>
        <w:t xml:space="preserve">Esa presunción operará igualmente aún cuando se utilicen figuras no laborales, para caracterizar al contrato, y </w:t>
      </w:r>
      <w:r w:rsidRPr="007D2659">
        <w:rPr>
          <w:b/>
          <w:bCs/>
          <w:i/>
          <w:iCs/>
        </w:rPr>
        <w:t>en tanto que por las circunstancias no sea dado calificar de empresario a quien presta el servicio</w:t>
      </w:r>
      <w:r w:rsidRPr="007D2659">
        <w:rPr>
          <w:i/>
          <w:iCs/>
        </w:rPr>
        <w:t xml:space="preserve">” </w:t>
      </w:r>
      <w:r w:rsidRPr="007D2659">
        <w:t>(la negrita es intencional y se relaciona con el señalamiento hecho por la CSJN).</w:t>
      </w:r>
    </w:p>
  </w:footnote>
  <w:footnote w:id="55">
    <w:p w14:paraId="042C423A" w14:textId="3E32117A" w:rsidR="000B58BD" w:rsidRPr="007D2659" w:rsidRDefault="000B58BD" w:rsidP="007D2659">
      <w:pPr>
        <w:pStyle w:val="Textonotapie"/>
        <w:spacing w:line="276" w:lineRule="auto"/>
        <w:jc w:val="both"/>
      </w:pPr>
      <w:r w:rsidRPr="007D2659">
        <w:rPr>
          <w:rStyle w:val="Refdenotaalpie"/>
        </w:rPr>
        <w:footnoteRef/>
      </w:r>
      <w:r w:rsidRPr="007D2659">
        <w:t xml:space="preserve"> Art. 103 LCT: “</w:t>
      </w:r>
      <w:r w:rsidRPr="007D2659">
        <w:rPr>
          <w:i/>
          <w:iCs/>
        </w:rPr>
        <w:t>A los fines de esta ley, se entiende por remuneración la contraprestación que debe percibir el trabajador como consecuencia del contrato de trabajo. Dicha remuneración no podrá ser inferior al salario mínimo vital. El empleador debe al trabajador la remuneración, aunque éste no preste servicios, por la mera circunstancia de haber puesto su fuerza de trabajo a disposición de aquél</w:t>
      </w:r>
      <w:r w:rsidRPr="007D2659">
        <w:t>”.</w:t>
      </w:r>
    </w:p>
  </w:footnote>
  <w:footnote w:id="56">
    <w:p w14:paraId="756B9F74" w14:textId="16CE0E69" w:rsidR="000B58BD" w:rsidRPr="007D2659" w:rsidRDefault="000B58BD" w:rsidP="007D2659">
      <w:pPr>
        <w:pStyle w:val="Textonotapie"/>
        <w:spacing w:line="276" w:lineRule="auto"/>
        <w:jc w:val="both"/>
      </w:pPr>
      <w:r w:rsidRPr="007D2659">
        <w:rPr>
          <w:rStyle w:val="Refdenotaalpie"/>
        </w:rPr>
        <w:footnoteRef/>
      </w:r>
      <w:r w:rsidRPr="007D2659">
        <w:t xml:space="preserve"> Art. 1 del Convenio 95 OIT: “</w:t>
      </w:r>
      <w:r w:rsidRPr="007D2659">
        <w:rPr>
          <w:i/>
          <w:iCs/>
        </w:rPr>
        <w:t>A los efectos del presente Convenio, el término salario significa la remuneración o ganancia, sea cual fuere su denominación o método de cálculo, siempre que pueda evaluarse en efectivo, fijada por acuerdo o por la legislación nacional, y debida por un empleador a un trabajador en virtud de un contrato de trabajo, escrito o verbal, por el trabajo que este último haya efectuado o deba efectuar o por servicios que haya prestado o deba prestar</w:t>
      </w:r>
      <w:r w:rsidRPr="007D2659">
        <w:t>”.</w:t>
      </w:r>
    </w:p>
  </w:footnote>
  <w:footnote w:id="57">
    <w:p w14:paraId="2A44A008" w14:textId="6A598BDD" w:rsidR="000B58BD" w:rsidRPr="007D2659" w:rsidRDefault="000B58BD" w:rsidP="007D2659">
      <w:pPr>
        <w:pStyle w:val="Textonotapie"/>
        <w:spacing w:line="276" w:lineRule="auto"/>
      </w:pPr>
      <w:r w:rsidRPr="007D2659">
        <w:rPr>
          <w:rStyle w:val="Refdenotaalpie"/>
        </w:rPr>
        <w:footnoteRef/>
      </w:r>
      <w:r w:rsidRPr="007D2659">
        <w:t xml:space="preserve"> Cabe consignar aquí que el párrafo 3º del apartado 3 del art. 99 de la Constitución Nacional, luego de la reforma constitucional de 1994, prevé una excepción a la división de poderes, al permitir al Poder Ejecutivo Nacional emitir normas equivalentes a leyes, a las que se denomina Decretos de necesidad y urgencia. Dice la regla constitucional: “Solamente cuando circunstancias excepcionales hicieran imposible seguir los trámites ordinarios previstos por esta Constitución para la sanción de las leyes, y no se trate de normas que regulen materia penal, tributaria, electoral o el régimen de los partidos políticos, podrá dictar decretos por razones de necesidad y urgencia, los que serán decididos en acuerdo general de ministros que deberán refrendarlos, conjuntamente con el jefe de gabinete de ministros”. Si bien, el decreto 1.447/89 fue dictado antes de la reforma constitucional, esa práctica ya existía en los hechos y aquella sólo vino a regularla y ponerle ciertos límites. Además, la ley 26.122 ha reglamentado el trámite de la intervención del Congreso para la ratificación o rechazo de tales decretos.</w:t>
      </w:r>
    </w:p>
  </w:footnote>
  <w:footnote w:id="58">
    <w:p w14:paraId="7CAB3A72" w14:textId="5521C365" w:rsidR="000B58BD" w:rsidRPr="007D2659" w:rsidRDefault="000B58BD" w:rsidP="007D2659">
      <w:pPr>
        <w:pStyle w:val="Textonotapie"/>
        <w:spacing w:line="276" w:lineRule="auto"/>
        <w:jc w:val="both"/>
      </w:pPr>
      <w:r w:rsidRPr="007D2659">
        <w:rPr>
          <w:rStyle w:val="Refdenotaalpie"/>
        </w:rPr>
        <w:footnoteRef/>
      </w:r>
      <w:r w:rsidRPr="007D2659">
        <w:t xml:space="preserve"> En la Ley de Contrato de Trabajo la indemnización por despido sin justa causa se establece en base a los términos antigüedad y mejor remuneración mensual normal y habitual.</w:t>
      </w:r>
    </w:p>
  </w:footnote>
  <w:footnote w:id="59">
    <w:p w14:paraId="4FBBA8FB" w14:textId="0A6F962C" w:rsidR="000B58BD" w:rsidRPr="007D2659" w:rsidRDefault="000B58BD" w:rsidP="007D2659">
      <w:pPr>
        <w:pStyle w:val="Textonotapie"/>
        <w:spacing w:line="276" w:lineRule="auto"/>
        <w:jc w:val="both"/>
      </w:pPr>
      <w:r w:rsidRPr="007D2659">
        <w:rPr>
          <w:rStyle w:val="Refdenotaalpie"/>
        </w:rPr>
        <w:footnoteRef/>
      </w:r>
      <w:r w:rsidRPr="007D2659">
        <w:t xml:space="preserve"> Por ejemplo, en los casos de personal jerárquico con altos salarios, no necesitados de ayudas sociales o beneficios sociales.</w:t>
      </w:r>
    </w:p>
  </w:footnote>
  <w:footnote w:id="60">
    <w:p w14:paraId="16A31281" w14:textId="1C7F1127" w:rsidR="000B58BD" w:rsidRPr="007D2659" w:rsidRDefault="000B58BD" w:rsidP="007D2659">
      <w:pPr>
        <w:pStyle w:val="Textonotapie"/>
        <w:spacing w:line="276" w:lineRule="auto"/>
        <w:jc w:val="both"/>
      </w:pPr>
      <w:r w:rsidRPr="007D2659">
        <w:rPr>
          <w:rStyle w:val="Refdenotaalpie"/>
        </w:rPr>
        <w:footnoteRef/>
      </w:r>
      <w:r w:rsidRPr="007D2659">
        <w:t xml:space="preserve"> Esa denominación alude a que se trata de títulos valores que el empleador entrega a sus trabajadores no como retribución por su aporte laborativo sino como ayuda social, como si fuera un benefactor social y no un empleador.</w:t>
      </w:r>
    </w:p>
  </w:footnote>
  <w:footnote w:id="61">
    <w:p w14:paraId="3FEF22DF" w14:textId="2CD5DE1F" w:rsidR="000B58BD" w:rsidRPr="007D2659" w:rsidRDefault="000B58BD" w:rsidP="007D2659">
      <w:pPr>
        <w:pStyle w:val="Textonotapie"/>
        <w:spacing w:line="276" w:lineRule="auto"/>
        <w:jc w:val="both"/>
      </w:pPr>
      <w:r w:rsidRPr="007D2659">
        <w:rPr>
          <w:rStyle w:val="Refdenotaalpie"/>
        </w:rPr>
        <w:footnoteRef/>
      </w:r>
      <w:r w:rsidRPr="007D2659">
        <w:t xml:space="preserve"> Texto que le dio luego el art. 1 del decreto de necesidad y urgencia 815/2001 B.O. 22/6/2001.</w:t>
      </w:r>
    </w:p>
  </w:footnote>
  <w:footnote w:id="62">
    <w:p w14:paraId="27BE56A7" w14:textId="6F691421" w:rsidR="000B58BD" w:rsidRPr="007D2659" w:rsidRDefault="000B58BD" w:rsidP="007D2659">
      <w:pPr>
        <w:pStyle w:val="Textonotapie"/>
        <w:spacing w:line="276" w:lineRule="auto"/>
        <w:jc w:val="both"/>
      </w:pPr>
      <w:r w:rsidRPr="007D2659">
        <w:rPr>
          <w:rStyle w:val="Refdenotaalpie"/>
        </w:rPr>
        <w:footnoteRef/>
      </w:r>
      <w:r w:rsidRPr="007D2659">
        <w:t xml:space="preserve"> Estas normas hicieron excepción a la política que deja en manos de la negociación colectiva y la voluntad de los empleadores la política salarial, al otorgar sumas de dinero tendientes a paliar la grave crisis económica, financiera y social que se instaló a fines del año 2001 y proyectó sus efectos hasta avanzado el año 2003.</w:t>
      </w:r>
    </w:p>
  </w:footnote>
  <w:footnote w:id="63">
    <w:p w14:paraId="5A17E63F" w14:textId="3A83F717" w:rsidR="000B58BD" w:rsidRPr="007D2659" w:rsidRDefault="000B58BD" w:rsidP="007D2659">
      <w:pPr>
        <w:pStyle w:val="Textonotapie"/>
        <w:spacing w:line="276" w:lineRule="auto"/>
        <w:jc w:val="both"/>
      </w:pPr>
      <w:r w:rsidRPr="007D2659">
        <w:rPr>
          <w:rStyle w:val="Refdenotaalpie"/>
        </w:rPr>
        <w:footnoteRef/>
      </w:r>
      <w:r w:rsidRPr="007D2659">
        <w:t xml:space="preserve"> Razones de oportunidad y espacio obstan a desarrollar este tema en este trabajo pero cabe, sin embargo, dejar aclarado que la reforma constitucional de 1994 modificó el régimen de fuentes de la Constitución Nacional con la regla del art. 75 inciso 22. La cuestión es debatible desde lo axiológico pero no desde lo normativo. Dicha reforma, reitero, instaló un sistema de fuentes monista de manera que, como lo señala el voto de la minoría, la ratificación de un instrumento internacional basta para otorgarle jerarquía superior a las leyes locales. </w:t>
      </w:r>
    </w:p>
  </w:footnote>
  <w:footnote w:id="64">
    <w:p w14:paraId="253EC61E" w14:textId="1D75468D" w:rsidR="000B58BD" w:rsidRPr="007D2659" w:rsidRDefault="000B58BD" w:rsidP="007D2659">
      <w:pPr>
        <w:pStyle w:val="Textonotapie"/>
        <w:spacing w:line="276" w:lineRule="auto"/>
        <w:jc w:val="both"/>
      </w:pPr>
      <w:r w:rsidRPr="007D2659">
        <w:rPr>
          <w:rStyle w:val="Refdenotaalpie"/>
        </w:rPr>
        <w:footnoteRef/>
      </w:r>
      <w:r w:rsidRPr="007D2659">
        <w:t xml:space="preserve"> Se trata de la misma causa en la que, como más arriba expuse, la Corte Suprema declaró la inconstitucionalidad del inciso a) del art. 31 de la ley 23.551, para reconocer a la Asociación de Trabajadores del Estado la legitimación para reclamar en nombre de los trabajadores comprendidos en su ámbito de representación.</w:t>
      </w:r>
    </w:p>
  </w:footnote>
  <w:footnote w:id="65">
    <w:p w14:paraId="4BC4AE01" w14:textId="70AA60C3" w:rsidR="00474B76" w:rsidRPr="007D2659" w:rsidRDefault="00474B76" w:rsidP="007D2659">
      <w:pPr>
        <w:pStyle w:val="Textonotapie"/>
        <w:spacing w:line="276" w:lineRule="auto"/>
      </w:pPr>
      <w:r w:rsidRPr="007D2659">
        <w:rPr>
          <w:rStyle w:val="Refdenotaalpie"/>
        </w:rPr>
        <w:footnoteRef/>
      </w:r>
      <w:r w:rsidRPr="007D2659">
        <w:t xml:space="preserve"> Dije que esa serie fue zigzagueante pues el 22/08/2002 en la causa “Tobar, Leónidas c/ Estado Nacional”, por el contrario, se había considerado inconstitucional un decreto de similares características.</w:t>
      </w:r>
    </w:p>
  </w:footnote>
  <w:footnote w:id="66">
    <w:p w14:paraId="5631D756" w14:textId="428BF179" w:rsidR="000B58BD" w:rsidRPr="007D2659" w:rsidRDefault="000B58BD" w:rsidP="007D2659">
      <w:pPr>
        <w:pStyle w:val="Textonotapie"/>
        <w:spacing w:line="276" w:lineRule="auto"/>
        <w:jc w:val="both"/>
      </w:pPr>
      <w:r w:rsidRPr="007D2659">
        <w:rPr>
          <w:rStyle w:val="Refdenotaalpie"/>
        </w:rPr>
        <w:footnoteRef/>
      </w:r>
      <w:r w:rsidRPr="007D2659">
        <w:t xml:space="preserve"> En la causa “Gentini” la Corte Suprema declaró inconstitucional el art. 4 del decreto 395/1992 al considerar que frustró mediante un reglamento el derecho de los trabajadores de ENTEL y Telefónica de Argentina SA a los bonos de participación en las ganancias previstos en el art. 29 de la ley 23.696. </w:t>
      </w:r>
    </w:p>
  </w:footnote>
  <w:footnote w:id="67">
    <w:p w14:paraId="2112F72A" w14:textId="7A4DF2C2" w:rsidR="000B58BD" w:rsidRPr="007D2659" w:rsidRDefault="000B58BD" w:rsidP="007D2659">
      <w:pPr>
        <w:pStyle w:val="Textonotapie"/>
        <w:spacing w:line="276" w:lineRule="auto"/>
        <w:jc w:val="both"/>
      </w:pPr>
      <w:r w:rsidRPr="007D2659">
        <w:rPr>
          <w:rStyle w:val="Refdenotaalpie"/>
        </w:rPr>
        <w:footnoteRef/>
      </w:r>
      <w:r w:rsidRPr="007D2659">
        <w:t xml:space="preserve"> Dice el párrafo 1 del art. 15 de la LCT: “Los acuerdos transaccionales, conciliatorios o liberatorios sólo serán válidos cuando se realicen con intervención de la autoridad judicial o administrativa, y mediare resolución fundada de cualquiera de ésta que acredite que mediante tales actos se ha alcanzado una justa composición de los derechos e intereses de las partes”.</w:t>
      </w:r>
    </w:p>
  </w:footnote>
  <w:footnote w:id="68">
    <w:p w14:paraId="1C2CFAC4" w14:textId="77777777" w:rsidR="000B58BD" w:rsidRPr="007D2659" w:rsidRDefault="000B58BD" w:rsidP="007D2659">
      <w:pPr>
        <w:pStyle w:val="Textonotapie"/>
        <w:spacing w:line="276" w:lineRule="auto"/>
        <w:jc w:val="both"/>
      </w:pPr>
      <w:r w:rsidRPr="007D2659">
        <w:rPr>
          <w:rStyle w:val="Refdenotaalpie"/>
        </w:rPr>
        <w:footnoteRef/>
      </w:r>
      <w:r w:rsidRPr="007D2659">
        <w:t xml:space="preserve"> Es razonable considerar que la postura asumida en “Romagnoli” ha implicado el abandono de la sentada por otra integración del Máximo Tribunal el 23/08/1998 que, en la causa “Gatarri, Alfredo c/ Cometarsa SA”, había decidido que resulta válido el pago gratificatorio realizado al trabajador compensable, en forma genérica, con cualquier otro crédito que tuviese con motivo de la disolución del vínculo, o derivado de las disposiciones de la ley 9688, así como que la existencia de tales acuerdos no viola el principio de irrenunciabilidad del art. 12 de la LCT, aún en el supuesto de carecer de homologación judicial.</w:t>
      </w:r>
    </w:p>
    <w:p w14:paraId="663478C8" w14:textId="7EE865EC" w:rsidR="000B58BD" w:rsidRPr="007D2659" w:rsidRDefault="000B58BD" w:rsidP="007D2659">
      <w:pPr>
        <w:pStyle w:val="Textonotapie"/>
        <w:spacing w:line="276" w:lineRule="auto"/>
        <w:jc w:val="both"/>
      </w:pPr>
      <w:r w:rsidRPr="007D2659">
        <w:t xml:space="preserve">El caso trataba sobre un acuerdo celebrado entre las partes ante </w:t>
      </w:r>
      <w:r w:rsidR="00A957BE" w:rsidRPr="007D2659">
        <w:t>un</w:t>
      </w:r>
      <w:r w:rsidRPr="007D2659">
        <w:t>a Delegación Regional del Ministerio de Trabajo de la Nación, por el cual se pagó al trabajador una suma de dinero en concepto de gratificación vinculada con el cese de la relación contractual. En dicho convenio se estableció que aquel monto se imputaría a valores constantes al momento del supuesto pago, y a cualquier reclamo indemnizatorio fundado en base a la relación laboral ...y especialmente a las indemnizaciones previstas en el art. 212 de la ley 20.744 o a reclamos indemnizatorios basados en la ley 9688, o daños y perjuicios y daño moral invocando las normas del derecho común, arts. 1078, 1109 y 1113 y concordantes del Cód. Civil, o como imputable también a cualquier actualización o intereses de crédito laboral alguno que se pretenda.</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4B86A47" w14:textId="77777777" w:rsidR="000B58BD" w:rsidRDefault="006B5239">
    <w:pPr>
      <w:pStyle w:val="Encabezado"/>
    </w:pPr>
    <w:r>
      <w:pict w14:anchorId="35B249A8">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865343709" o:spid="_x0000_s2049" type="#_x0000_t136" style="position:absolute;margin-left:0;margin-top:0;width:536.4pt;height:73.15pt;rotation:315;z-index:-251658752;mso-position-horizontal:center;mso-position-horizontal-relative:margin;mso-position-vertical:center;mso-position-vertical-relative:margin" o:allowincell="f" fillcolor="silver" stroked="f">
          <v:fill opacity=".5"/>
          <v:textpath style="font-family:&quot;calibri&quot;;font-size:1pt" string="Profesor Miguel Ángel Maza"/>
          <w10:wrap anchorx="margin" anchory="margin"/>
        </v:shape>
      </w:pic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833D71"/>
    <w:multiLevelType w:val="hybridMultilevel"/>
    <w:tmpl w:val="F16C68CC"/>
    <w:lvl w:ilvl="0" w:tplc="5590D6BA">
      <w:start w:val="1"/>
      <w:numFmt w:val="bullet"/>
      <w:lvlText w:val=""/>
      <w:lvlJc w:val="left"/>
      <w:pPr>
        <w:tabs>
          <w:tab w:val="num" w:pos="851"/>
        </w:tabs>
        <w:ind w:left="851" w:hanging="851"/>
      </w:pPr>
      <w:rPr>
        <w:rFonts w:ascii="Symbol" w:hAnsi="Symbol" w:hint="default"/>
        <w:color w:val="auto"/>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58D15BF"/>
    <w:multiLevelType w:val="hybridMultilevel"/>
    <w:tmpl w:val="F8EC10F6"/>
    <w:lvl w:ilvl="0" w:tplc="21C02C94">
      <w:start w:val="1"/>
      <w:numFmt w:val="bullet"/>
      <w:lvlText w:val=""/>
      <w:lvlJc w:val="left"/>
      <w:pPr>
        <w:ind w:left="720" w:hanging="360"/>
      </w:pPr>
      <w:rPr>
        <w:rFonts w:ascii="Symbol" w:hAnsi="Symbol" w:hint="default"/>
        <w:color w:val="auto"/>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2" w15:restartNumberingAfterBreak="0">
    <w:nsid w:val="080F4839"/>
    <w:multiLevelType w:val="hybridMultilevel"/>
    <w:tmpl w:val="E7C04BB6"/>
    <w:lvl w:ilvl="0" w:tplc="5590D6BA">
      <w:start w:val="1"/>
      <w:numFmt w:val="bullet"/>
      <w:lvlText w:val=""/>
      <w:lvlJc w:val="left"/>
      <w:pPr>
        <w:tabs>
          <w:tab w:val="num" w:pos="851"/>
        </w:tabs>
        <w:ind w:left="851" w:hanging="851"/>
      </w:pPr>
      <w:rPr>
        <w:rFonts w:ascii="Symbol" w:hAnsi="Symbol" w:hint="default"/>
        <w:color w:val="auto"/>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0F4C775E"/>
    <w:multiLevelType w:val="hybridMultilevel"/>
    <w:tmpl w:val="8A08C6B2"/>
    <w:lvl w:ilvl="0" w:tplc="04090011">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15:restartNumberingAfterBreak="0">
    <w:nsid w:val="17C3479B"/>
    <w:multiLevelType w:val="hybridMultilevel"/>
    <w:tmpl w:val="D3A27BB8"/>
    <w:lvl w:ilvl="0" w:tplc="21C02C94">
      <w:start w:val="1"/>
      <w:numFmt w:val="bullet"/>
      <w:lvlText w:val=""/>
      <w:lvlJc w:val="left"/>
      <w:pPr>
        <w:ind w:left="2160" w:hanging="360"/>
      </w:pPr>
      <w:rPr>
        <w:rFonts w:ascii="Symbol" w:hAnsi="Symbol" w:hint="default"/>
        <w:color w:val="auto"/>
      </w:rPr>
    </w:lvl>
    <w:lvl w:ilvl="1" w:tplc="2C0A0003">
      <w:start w:val="1"/>
      <w:numFmt w:val="bullet"/>
      <w:lvlText w:val="o"/>
      <w:lvlJc w:val="left"/>
      <w:pPr>
        <w:ind w:left="2880" w:hanging="360"/>
      </w:pPr>
      <w:rPr>
        <w:rFonts w:ascii="Courier New" w:hAnsi="Courier New" w:cs="Courier New" w:hint="default"/>
      </w:rPr>
    </w:lvl>
    <w:lvl w:ilvl="2" w:tplc="2C0A0005" w:tentative="1">
      <w:start w:val="1"/>
      <w:numFmt w:val="bullet"/>
      <w:lvlText w:val=""/>
      <w:lvlJc w:val="left"/>
      <w:pPr>
        <w:ind w:left="3600" w:hanging="360"/>
      </w:pPr>
      <w:rPr>
        <w:rFonts w:ascii="Wingdings" w:hAnsi="Wingdings" w:hint="default"/>
      </w:rPr>
    </w:lvl>
    <w:lvl w:ilvl="3" w:tplc="2C0A0001" w:tentative="1">
      <w:start w:val="1"/>
      <w:numFmt w:val="bullet"/>
      <w:lvlText w:val=""/>
      <w:lvlJc w:val="left"/>
      <w:pPr>
        <w:ind w:left="4320" w:hanging="360"/>
      </w:pPr>
      <w:rPr>
        <w:rFonts w:ascii="Symbol" w:hAnsi="Symbol" w:hint="default"/>
      </w:rPr>
    </w:lvl>
    <w:lvl w:ilvl="4" w:tplc="2C0A0003" w:tentative="1">
      <w:start w:val="1"/>
      <w:numFmt w:val="bullet"/>
      <w:lvlText w:val="o"/>
      <w:lvlJc w:val="left"/>
      <w:pPr>
        <w:ind w:left="5040" w:hanging="360"/>
      </w:pPr>
      <w:rPr>
        <w:rFonts w:ascii="Courier New" w:hAnsi="Courier New" w:cs="Courier New" w:hint="default"/>
      </w:rPr>
    </w:lvl>
    <w:lvl w:ilvl="5" w:tplc="2C0A0005" w:tentative="1">
      <w:start w:val="1"/>
      <w:numFmt w:val="bullet"/>
      <w:lvlText w:val=""/>
      <w:lvlJc w:val="left"/>
      <w:pPr>
        <w:ind w:left="5760" w:hanging="360"/>
      </w:pPr>
      <w:rPr>
        <w:rFonts w:ascii="Wingdings" w:hAnsi="Wingdings" w:hint="default"/>
      </w:rPr>
    </w:lvl>
    <w:lvl w:ilvl="6" w:tplc="2C0A0001" w:tentative="1">
      <w:start w:val="1"/>
      <w:numFmt w:val="bullet"/>
      <w:lvlText w:val=""/>
      <w:lvlJc w:val="left"/>
      <w:pPr>
        <w:ind w:left="6480" w:hanging="360"/>
      </w:pPr>
      <w:rPr>
        <w:rFonts w:ascii="Symbol" w:hAnsi="Symbol" w:hint="default"/>
      </w:rPr>
    </w:lvl>
    <w:lvl w:ilvl="7" w:tplc="2C0A0003" w:tentative="1">
      <w:start w:val="1"/>
      <w:numFmt w:val="bullet"/>
      <w:lvlText w:val="o"/>
      <w:lvlJc w:val="left"/>
      <w:pPr>
        <w:ind w:left="7200" w:hanging="360"/>
      </w:pPr>
      <w:rPr>
        <w:rFonts w:ascii="Courier New" w:hAnsi="Courier New" w:cs="Courier New" w:hint="default"/>
      </w:rPr>
    </w:lvl>
    <w:lvl w:ilvl="8" w:tplc="2C0A0005" w:tentative="1">
      <w:start w:val="1"/>
      <w:numFmt w:val="bullet"/>
      <w:lvlText w:val=""/>
      <w:lvlJc w:val="left"/>
      <w:pPr>
        <w:ind w:left="7920" w:hanging="360"/>
      </w:pPr>
      <w:rPr>
        <w:rFonts w:ascii="Wingdings" w:hAnsi="Wingdings" w:hint="default"/>
      </w:rPr>
    </w:lvl>
  </w:abstractNum>
  <w:abstractNum w:abstractNumId="5" w15:restartNumberingAfterBreak="0">
    <w:nsid w:val="1E031470"/>
    <w:multiLevelType w:val="hybridMultilevel"/>
    <w:tmpl w:val="1FA4341C"/>
    <w:lvl w:ilvl="0" w:tplc="590A6DF2">
      <w:start w:val="1"/>
      <w:numFmt w:val="bullet"/>
      <w:lvlText w:val=""/>
      <w:lvlJc w:val="left"/>
      <w:pPr>
        <w:ind w:left="1260" w:hanging="360"/>
      </w:pPr>
      <w:rPr>
        <w:rFonts w:ascii="Symbol" w:hAnsi="Symbol" w:hint="default"/>
        <w:color w:val="auto"/>
      </w:rPr>
    </w:lvl>
    <w:lvl w:ilvl="1" w:tplc="2C0A0003" w:tentative="1">
      <w:start w:val="1"/>
      <w:numFmt w:val="bullet"/>
      <w:lvlText w:val="o"/>
      <w:lvlJc w:val="left"/>
      <w:pPr>
        <w:ind w:left="1980" w:hanging="360"/>
      </w:pPr>
      <w:rPr>
        <w:rFonts w:ascii="Courier New" w:hAnsi="Courier New" w:cs="Courier New" w:hint="default"/>
      </w:rPr>
    </w:lvl>
    <w:lvl w:ilvl="2" w:tplc="2C0A0005" w:tentative="1">
      <w:start w:val="1"/>
      <w:numFmt w:val="bullet"/>
      <w:lvlText w:val=""/>
      <w:lvlJc w:val="left"/>
      <w:pPr>
        <w:ind w:left="2700" w:hanging="360"/>
      </w:pPr>
      <w:rPr>
        <w:rFonts w:ascii="Wingdings" w:hAnsi="Wingdings" w:hint="default"/>
      </w:rPr>
    </w:lvl>
    <w:lvl w:ilvl="3" w:tplc="2C0A0001" w:tentative="1">
      <w:start w:val="1"/>
      <w:numFmt w:val="bullet"/>
      <w:lvlText w:val=""/>
      <w:lvlJc w:val="left"/>
      <w:pPr>
        <w:ind w:left="3420" w:hanging="360"/>
      </w:pPr>
      <w:rPr>
        <w:rFonts w:ascii="Symbol" w:hAnsi="Symbol" w:hint="default"/>
      </w:rPr>
    </w:lvl>
    <w:lvl w:ilvl="4" w:tplc="2C0A0003" w:tentative="1">
      <w:start w:val="1"/>
      <w:numFmt w:val="bullet"/>
      <w:lvlText w:val="o"/>
      <w:lvlJc w:val="left"/>
      <w:pPr>
        <w:ind w:left="4140" w:hanging="360"/>
      </w:pPr>
      <w:rPr>
        <w:rFonts w:ascii="Courier New" w:hAnsi="Courier New" w:cs="Courier New" w:hint="default"/>
      </w:rPr>
    </w:lvl>
    <w:lvl w:ilvl="5" w:tplc="2C0A0005" w:tentative="1">
      <w:start w:val="1"/>
      <w:numFmt w:val="bullet"/>
      <w:lvlText w:val=""/>
      <w:lvlJc w:val="left"/>
      <w:pPr>
        <w:ind w:left="4860" w:hanging="360"/>
      </w:pPr>
      <w:rPr>
        <w:rFonts w:ascii="Wingdings" w:hAnsi="Wingdings" w:hint="default"/>
      </w:rPr>
    </w:lvl>
    <w:lvl w:ilvl="6" w:tplc="2C0A0001" w:tentative="1">
      <w:start w:val="1"/>
      <w:numFmt w:val="bullet"/>
      <w:lvlText w:val=""/>
      <w:lvlJc w:val="left"/>
      <w:pPr>
        <w:ind w:left="5580" w:hanging="360"/>
      </w:pPr>
      <w:rPr>
        <w:rFonts w:ascii="Symbol" w:hAnsi="Symbol" w:hint="default"/>
      </w:rPr>
    </w:lvl>
    <w:lvl w:ilvl="7" w:tplc="2C0A0003" w:tentative="1">
      <w:start w:val="1"/>
      <w:numFmt w:val="bullet"/>
      <w:lvlText w:val="o"/>
      <w:lvlJc w:val="left"/>
      <w:pPr>
        <w:ind w:left="6300" w:hanging="360"/>
      </w:pPr>
      <w:rPr>
        <w:rFonts w:ascii="Courier New" w:hAnsi="Courier New" w:cs="Courier New" w:hint="default"/>
      </w:rPr>
    </w:lvl>
    <w:lvl w:ilvl="8" w:tplc="2C0A0005" w:tentative="1">
      <w:start w:val="1"/>
      <w:numFmt w:val="bullet"/>
      <w:lvlText w:val=""/>
      <w:lvlJc w:val="left"/>
      <w:pPr>
        <w:ind w:left="7020" w:hanging="360"/>
      </w:pPr>
      <w:rPr>
        <w:rFonts w:ascii="Wingdings" w:hAnsi="Wingdings" w:hint="default"/>
      </w:rPr>
    </w:lvl>
  </w:abstractNum>
  <w:abstractNum w:abstractNumId="6" w15:restartNumberingAfterBreak="0">
    <w:nsid w:val="2043754F"/>
    <w:multiLevelType w:val="hybridMultilevel"/>
    <w:tmpl w:val="60A65AC0"/>
    <w:lvl w:ilvl="0" w:tplc="F968965E">
      <w:start w:val="1"/>
      <w:numFmt w:val="bullet"/>
      <w:lvlText w:val=""/>
      <w:lvlJc w:val="left"/>
      <w:pPr>
        <w:tabs>
          <w:tab w:val="num" w:pos="851"/>
        </w:tabs>
        <w:ind w:left="0" w:firstLine="0"/>
      </w:pPr>
      <w:rPr>
        <w:rFonts w:ascii="Symbol" w:hAnsi="Symbol" w:hint="default"/>
        <w:color w:val="auto"/>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23B52207"/>
    <w:multiLevelType w:val="hybridMultilevel"/>
    <w:tmpl w:val="5C467B54"/>
    <w:lvl w:ilvl="0" w:tplc="F968965E">
      <w:start w:val="1"/>
      <w:numFmt w:val="bullet"/>
      <w:lvlText w:val=""/>
      <w:lvlJc w:val="left"/>
      <w:pPr>
        <w:tabs>
          <w:tab w:val="num" w:pos="851"/>
        </w:tabs>
        <w:ind w:left="0" w:firstLine="0"/>
      </w:pPr>
      <w:rPr>
        <w:rFonts w:ascii="Symbol" w:hAnsi="Symbol" w:hint="default"/>
        <w:color w:val="auto"/>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25172CB7"/>
    <w:multiLevelType w:val="hybridMultilevel"/>
    <w:tmpl w:val="5F64FE68"/>
    <w:lvl w:ilvl="0" w:tplc="590A6DF2">
      <w:start w:val="1"/>
      <w:numFmt w:val="bullet"/>
      <w:lvlText w:val=""/>
      <w:lvlJc w:val="left"/>
      <w:pPr>
        <w:ind w:left="720" w:hanging="360"/>
      </w:pPr>
      <w:rPr>
        <w:rFonts w:ascii="Symbol" w:hAnsi="Symbol" w:hint="default"/>
        <w:color w:val="auto"/>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9" w15:restartNumberingAfterBreak="0">
    <w:nsid w:val="25561FD3"/>
    <w:multiLevelType w:val="hybridMultilevel"/>
    <w:tmpl w:val="F8CEA39A"/>
    <w:lvl w:ilvl="0" w:tplc="21C02C94">
      <w:start w:val="1"/>
      <w:numFmt w:val="bullet"/>
      <w:lvlText w:val=""/>
      <w:lvlJc w:val="left"/>
      <w:pPr>
        <w:tabs>
          <w:tab w:val="num" w:pos="851"/>
        </w:tabs>
        <w:ind w:left="851" w:hanging="851"/>
      </w:pPr>
      <w:rPr>
        <w:rFonts w:ascii="Symbol" w:hAnsi="Symbol" w:hint="default"/>
        <w:color w:val="auto"/>
      </w:rPr>
    </w:lvl>
    <w:lvl w:ilvl="1" w:tplc="0C0A0003" w:tentative="1">
      <w:start w:val="1"/>
      <w:numFmt w:val="bullet"/>
      <w:lvlText w:val="o"/>
      <w:lvlJc w:val="left"/>
      <w:pPr>
        <w:tabs>
          <w:tab w:val="num" w:pos="1980"/>
        </w:tabs>
        <w:ind w:left="1980" w:hanging="360"/>
      </w:pPr>
      <w:rPr>
        <w:rFonts w:ascii="Courier New" w:hAnsi="Courier New" w:cs="Courier New" w:hint="default"/>
      </w:rPr>
    </w:lvl>
    <w:lvl w:ilvl="2" w:tplc="0C0A0005" w:tentative="1">
      <w:start w:val="1"/>
      <w:numFmt w:val="bullet"/>
      <w:lvlText w:val=""/>
      <w:lvlJc w:val="left"/>
      <w:pPr>
        <w:tabs>
          <w:tab w:val="num" w:pos="2700"/>
        </w:tabs>
        <w:ind w:left="2700" w:hanging="360"/>
      </w:pPr>
      <w:rPr>
        <w:rFonts w:ascii="Wingdings" w:hAnsi="Wingdings" w:hint="default"/>
      </w:rPr>
    </w:lvl>
    <w:lvl w:ilvl="3" w:tplc="0C0A0001" w:tentative="1">
      <w:start w:val="1"/>
      <w:numFmt w:val="bullet"/>
      <w:lvlText w:val=""/>
      <w:lvlJc w:val="left"/>
      <w:pPr>
        <w:tabs>
          <w:tab w:val="num" w:pos="3420"/>
        </w:tabs>
        <w:ind w:left="3420" w:hanging="360"/>
      </w:pPr>
      <w:rPr>
        <w:rFonts w:ascii="Symbol" w:hAnsi="Symbol" w:hint="default"/>
      </w:rPr>
    </w:lvl>
    <w:lvl w:ilvl="4" w:tplc="0C0A0003" w:tentative="1">
      <w:start w:val="1"/>
      <w:numFmt w:val="bullet"/>
      <w:lvlText w:val="o"/>
      <w:lvlJc w:val="left"/>
      <w:pPr>
        <w:tabs>
          <w:tab w:val="num" w:pos="4140"/>
        </w:tabs>
        <w:ind w:left="4140" w:hanging="360"/>
      </w:pPr>
      <w:rPr>
        <w:rFonts w:ascii="Courier New" w:hAnsi="Courier New" w:cs="Courier New" w:hint="default"/>
      </w:rPr>
    </w:lvl>
    <w:lvl w:ilvl="5" w:tplc="0C0A0005" w:tentative="1">
      <w:start w:val="1"/>
      <w:numFmt w:val="bullet"/>
      <w:lvlText w:val=""/>
      <w:lvlJc w:val="left"/>
      <w:pPr>
        <w:tabs>
          <w:tab w:val="num" w:pos="4860"/>
        </w:tabs>
        <w:ind w:left="4860" w:hanging="360"/>
      </w:pPr>
      <w:rPr>
        <w:rFonts w:ascii="Wingdings" w:hAnsi="Wingdings" w:hint="default"/>
      </w:rPr>
    </w:lvl>
    <w:lvl w:ilvl="6" w:tplc="0C0A0001" w:tentative="1">
      <w:start w:val="1"/>
      <w:numFmt w:val="bullet"/>
      <w:lvlText w:val=""/>
      <w:lvlJc w:val="left"/>
      <w:pPr>
        <w:tabs>
          <w:tab w:val="num" w:pos="5580"/>
        </w:tabs>
        <w:ind w:left="5580" w:hanging="360"/>
      </w:pPr>
      <w:rPr>
        <w:rFonts w:ascii="Symbol" w:hAnsi="Symbol" w:hint="default"/>
      </w:rPr>
    </w:lvl>
    <w:lvl w:ilvl="7" w:tplc="0C0A0003" w:tentative="1">
      <w:start w:val="1"/>
      <w:numFmt w:val="bullet"/>
      <w:lvlText w:val="o"/>
      <w:lvlJc w:val="left"/>
      <w:pPr>
        <w:tabs>
          <w:tab w:val="num" w:pos="6300"/>
        </w:tabs>
        <w:ind w:left="6300" w:hanging="360"/>
      </w:pPr>
      <w:rPr>
        <w:rFonts w:ascii="Courier New" w:hAnsi="Courier New" w:cs="Courier New" w:hint="default"/>
      </w:rPr>
    </w:lvl>
    <w:lvl w:ilvl="8" w:tplc="0C0A0005" w:tentative="1">
      <w:start w:val="1"/>
      <w:numFmt w:val="bullet"/>
      <w:lvlText w:val=""/>
      <w:lvlJc w:val="left"/>
      <w:pPr>
        <w:tabs>
          <w:tab w:val="num" w:pos="7020"/>
        </w:tabs>
        <w:ind w:left="7020" w:hanging="360"/>
      </w:pPr>
      <w:rPr>
        <w:rFonts w:ascii="Wingdings" w:hAnsi="Wingdings" w:hint="default"/>
      </w:rPr>
    </w:lvl>
  </w:abstractNum>
  <w:abstractNum w:abstractNumId="10" w15:restartNumberingAfterBreak="0">
    <w:nsid w:val="2A0A0D32"/>
    <w:multiLevelType w:val="hybridMultilevel"/>
    <w:tmpl w:val="5310F91A"/>
    <w:lvl w:ilvl="0" w:tplc="2C0A0001">
      <w:start w:val="1"/>
      <w:numFmt w:val="bullet"/>
      <w:lvlText w:val=""/>
      <w:lvlJc w:val="left"/>
      <w:pPr>
        <w:ind w:left="1440" w:hanging="360"/>
      </w:pPr>
      <w:rPr>
        <w:rFonts w:ascii="Symbol" w:hAnsi="Symbol" w:hint="default"/>
      </w:rPr>
    </w:lvl>
    <w:lvl w:ilvl="1" w:tplc="2C0A0003" w:tentative="1">
      <w:start w:val="1"/>
      <w:numFmt w:val="bullet"/>
      <w:lvlText w:val="o"/>
      <w:lvlJc w:val="left"/>
      <w:pPr>
        <w:ind w:left="2160" w:hanging="360"/>
      </w:pPr>
      <w:rPr>
        <w:rFonts w:ascii="Courier New" w:hAnsi="Courier New" w:cs="Courier New" w:hint="default"/>
      </w:rPr>
    </w:lvl>
    <w:lvl w:ilvl="2" w:tplc="2C0A0005" w:tentative="1">
      <w:start w:val="1"/>
      <w:numFmt w:val="bullet"/>
      <w:lvlText w:val=""/>
      <w:lvlJc w:val="left"/>
      <w:pPr>
        <w:ind w:left="2880" w:hanging="360"/>
      </w:pPr>
      <w:rPr>
        <w:rFonts w:ascii="Wingdings" w:hAnsi="Wingdings" w:hint="default"/>
      </w:rPr>
    </w:lvl>
    <w:lvl w:ilvl="3" w:tplc="2C0A0001" w:tentative="1">
      <w:start w:val="1"/>
      <w:numFmt w:val="bullet"/>
      <w:lvlText w:val=""/>
      <w:lvlJc w:val="left"/>
      <w:pPr>
        <w:ind w:left="3600" w:hanging="360"/>
      </w:pPr>
      <w:rPr>
        <w:rFonts w:ascii="Symbol" w:hAnsi="Symbol" w:hint="default"/>
      </w:rPr>
    </w:lvl>
    <w:lvl w:ilvl="4" w:tplc="2C0A0003" w:tentative="1">
      <w:start w:val="1"/>
      <w:numFmt w:val="bullet"/>
      <w:lvlText w:val="o"/>
      <w:lvlJc w:val="left"/>
      <w:pPr>
        <w:ind w:left="4320" w:hanging="360"/>
      </w:pPr>
      <w:rPr>
        <w:rFonts w:ascii="Courier New" w:hAnsi="Courier New" w:cs="Courier New" w:hint="default"/>
      </w:rPr>
    </w:lvl>
    <w:lvl w:ilvl="5" w:tplc="2C0A0005" w:tentative="1">
      <w:start w:val="1"/>
      <w:numFmt w:val="bullet"/>
      <w:lvlText w:val=""/>
      <w:lvlJc w:val="left"/>
      <w:pPr>
        <w:ind w:left="5040" w:hanging="360"/>
      </w:pPr>
      <w:rPr>
        <w:rFonts w:ascii="Wingdings" w:hAnsi="Wingdings" w:hint="default"/>
      </w:rPr>
    </w:lvl>
    <w:lvl w:ilvl="6" w:tplc="2C0A0001" w:tentative="1">
      <w:start w:val="1"/>
      <w:numFmt w:val="bullet"/>
      <w:lvlText w:val=""/>
      <w:lvlJc w:val="left"/>
      <w:pPr>
        <w:ind w:left="5760" w:hanging="360"/>
      </w:pPr>
      <w:rPr>
        <w:rFonts w:ascii="Symbol" w:hAnsi="Symbol" w:hint="default"/>
      </w:rPr>
    </w:lvl>
    <w:lvl w:ilvl="7" w:tplc="2C0A0003" w:tentative="1">
      <w:start w:val="1"/>
      <w:numFmt w:val="bullet"/>
      <w:lvlText w:val="o"/>
      <w:lvlJc w:val="left"/>
      <w:pPr>
        <w:ind w:left="6480" w:hanging="360"/>
      </w:pPr>
      <w:rPr>
        <w:rFonts w:ascii="Courier New" w:hAnsi="Courier New" w:cs="Courier New" w:hint="default"/>
      </w:rPr>
    </w:lvl>
    <w:lvl w:ilvl="8" w:tplc="2C0A0005" w:tentative="1">
      <w:start w:val="1"/>
      <w:numFmt w:val="bullet"/>
      <w:lvlText w:val=""/>
      <w:lvlJc w:val="left"/>
      <w:pPr>
        <w:ind w:left="7200" w:hanging="360"/>
      </w:pPr>
      <w:rPr>
        <w:rFonts w:ascii="Wingdings" w:hAnsi="Wingdings" w:hint="default"/>
      </w:rPr>
    </w:lvl>
  </w:abstractNum>
  <w:abstractNum w:abstractNumId="11" w15:restartNumberingAfterBreak="0">
    <w:nsid w:val="2CF1424C"/>
    <w:multiLevelType w:val="hybridMultilevel"/>
    <w:tmpl w:val="498CD5AE"/>
    <w:lvl w:ilvl="0" w:tplc="21C02C94">
      <w:start w:val="1"/>
      <w:numFmt w:val="bullet"/>
      <w:lvlText w:val=""/>
      <w:lvlJc w:val="left"/>
      <w:pPr>
        <w:tabs>
          <w:tab w:val="num" w:pos="851"/>
        </w:tabs>
        <w:ind w:left="851" w:hanging="851"/>
      </w:pPr>
      <w:rPr>
        <w:rFonts w:ascii="Symbol" w:hAnsi="Symbol" w:hint="default"/>
        <w:color w:val="auto"/>
      </w:rPr>
    </w:lvl>
    <w:lvl w:ilvl="1" w:tplc="0C0A0003">
      <w:start w:val="1"/>
      <w:numFmt w:val="bullet"/>
      <w:lvlText w:val="o"/>
      <w:lvlJc w:val="left"/>
      <w:pPr>
        <w:tabs>
          <w:tab w:val="num" w:pos="1980"/>
        </w:tabs>
        <w:ind w:left="1980" w:hanging="360"/>
      </w:pPr>
      <w:rPr>
        <w:rFonts w:ascii="Courier New" w:hAnsi="Courier New" w:cs="Courier New" w:hint="default"/>
      </w:rPr>
    </w:lvl>
    <w:lvl w:ilvl="2" w:tplc="0C0A0005" w:tentative="1">
      <w:start w:val="1"/>
      <w:numFmt w:val="bullet"/>
      <w:lvlText w:val=""/>
      <w:lvlJc w:val="left"/>
      <w:pPr>
        <w:tabs>
          <w:tab w:val="num" w:pos="2700"/>
        </w:tabs>
        <w:ind w:left="2700" w:hanging="360"/>
      </w:pPr>
      <w:rPr>
        <w:rFonts w:ascii="Wingdings" w:hAnsi="Wingdings" w:hint="default"/>
      </w:rPr>
    </w:lvl>
    <w:lvl w:ilvl="3" w:tplc="0C0A0001" w:tentative="1">
      <w:start w:val="1"/>
      <w:numFmt w:val="bullet"/>
      <w:lvlText w:val=""/>
      <w:lvlJc w:val="left"/>
      <w:pPr>
        <w:tabs>
          <w:tab w:val="num" w:pos="3420"/>
        </w:tabs>
        <w:ind w:left="3420" w:hanging="360"/>
      </w:pPr>
      <w:rPr>
        <w:rFonts w:ascii="Symbol" w:hAnsi="Symbol" w:hint="default"/>
      </w:rPr>
    </w:lvl>
    <w:lvl w:ilvl="4" w:tplc="0C0A0003" w:tentative="1">
      <w:start w:val="1"/>
      <w:numFmt w:val="bullet"/>
      <w:lvlText w:val="o"/>
      <w:lvlJc w:val="left"/>
      <w:pPr>
        <w:tabs>
          <w:tab w:val="num" w:pos="4140"/>
        </w:tabs>
        <w:ind w:left="4140" w:hanging="360"/>
      </w:pPr>
      <w:rPr>
        <w:rFonts w:ascii="Courier New" w:hAnsi="Courier New" w:cs="Courier New" w:hint="default"/>
      </w:rPr>
    </w:lvl>
    <w:lvl w:ilvl="5" w:tplc="0C0A0005" w:tentative="1">
      <w:start w:val="1"/>
      <w:numFmt w:val="bullet"/>
      <w:lvlText w:val=""/>
      <w:lvlJc w:val="left"/>
      <w:pPr>
        <w:tabs>
          <w:tab w:val="num" w:pos="4860"/>
        </w:tabs>
        <w:ind w:left="4860" w:hanging="360"/>
      </w:pPr>
      <w:rPr>
        <w:rFonts w:ascii="Wingdings" w:hAnsi="Wingdings" w:hint="default"/>
      </w:rPr>
    </w:lvl>
    <w:lvl w:ilvl="6" w:tplc="0C0A0001" w:tentative="1">
      <w:start w:val="1"/>
      <w:numFmt w:val="bullet"/>
      <w:lvlText w:val=""/>
      <w:lvlJc w:val="left"/>
      <w:pPr>
        <w:tabs>
          <w:tab w:val="num" w:pos="5580"/>
        </w:tabs>
        <w:ind w:left="5580" w:hanging="360"/>
      </w:pPr>
      <w:rPr>
        <w:rFonts w:ascii="Symbol" w:hAnsi="Symbol" w:hint="default"/>
      </w:rPr>
    </w:lvl>
    <w:lvl w:ilvl="7" w:tplc="0C0A0003" w:tentative="1">
      <w:start w:val="1"/>
      <w:numFmt w:val="bullet"/>
      <w:lvlText w:val="o"/>
      <w:lvlJc w:val="left"/>
      <w:pPr>
        <w:tabs>
          <w:tab w:val="num" w:pos="6300"/>
        </w:tabs>
        <w:ind w:left="6300" w:hanging="360"/>
      </w:pPr>
      <w:rPr>
        <w:rFonts w:ascii="Courier New" w:hAnsi="Courier New" w:cs="Courier New" w:hint="default"/>
      </w:rPr>
    </w:lvl>
    <w:lvl w:ilvl="8" w:tplc="0C0A0005" w:tentative="1">
      <w:start w:val="1"/>
      <w:numFmt w:val="bullet"/>
      <w:lvlText w:val=""/>
      <w:lvlJc w:val="left"/>
      <w:pPr>
        <w:tabs>
          <w:tab w:val="num" w:pos="7020"/>
        </w:tabs>
        <w:ind w:left="7020" w:hanging="360"/>
      </w:pPr>
      <w:rPr>
        <w:rFonts w:ascii="Wingdings" w:hAnsi="Wingdings" w:hint="default"/>
      </w:rPr>
    </w:lvl>
  </w:abstractNum>
  <w:abstractNum w:abstractNumId="12" w15:restartNumberingAfterBreak="0">
    <w:nsid w:val="3A161803"/>
    <w:multiLevelType w:val="hybridMultilevel"/>
    <w:tmpl w:val="D29084DE"/>
    <w:lvl w:ilvl="0" w:tplc="21C02C94">
      <w:start w:val="1"/>
      <w:numFmt w:val="bullet"/>
      <w:lvlText w:val=""/>
      <w:lvlJc w:val="left"/>
      <w:pPr>
        <w:ind w:left="1440" w:hanging="360"/>
      </w:pPr>
      <w:rPr>
        <w:rFonts w:ascii="Symbol" w:hAnsi="Symbol" w:hint="default"/>
        <w:color w:val="auto"/>
      </w:rPr>
    </w:lvl>
    <w:lvl w:ilvl="1" w:tplc="2C0A0003" w:tentative="1">
      <w:start w:val="1"/>
      <w:numFmt w:val="bullet"/>
      <w:lvlText w:val="o"/>
      <w:lvlJc w:val="left"/>
      <w:pPr>
        <w:ind w:left="2160" w:hanging="360"/>
      </w:pPr>
      <w:rPr>
        <w:rFonts w:ascii="Courier New" w:hAnsi="Courier New" w:cs="Courier New" w:hint="default"/>
      </w:rPr>
    </w:lvl>
    <w:lvl w:ilvl="2" w:tplc="2C0A0005" w:tentative="1">
      <w:start w:val="1"/>
      <w:numFmt w:val="bullet"/>
      <w:lvlText w:val=""/>
      <w:lvlJc w:val="left"/>
      <w:pPr>
        <w:ind w:left="2880" w:hanging="360"/>
      </w:pPr>
      <w:rPr>
        <w:rFonts w:ascii="Wingdings" w:hAnsi="Wingdings" w:hint="default"/>
      </w:rPr>
    </w:lvl>
    <w:lvl w:ilvl="3" w:tplc="2C0A0001" w:tentative="1">
      <w:start w:val="1"/>
      <w:numFmt w:val="bullet"/>
      <w:lvlText w:val=""/>
      <w:lvlJc w:val="left"/>
      <w:pPr>
        <w:ind w:left="3600" w:hanging="360"/>
      </w:pPr>
      <w:rPr>
        <w:rFonts w:ascii="Symbol" w:hAnsi="Symbol" w:hint="default"/>
      </w:rPr>
    </w:lvl>
    <w:lvl w:ilvl="4" w:tplc="2C0A0003" w:tentative="1">
      <w:start w:val="1"/>
      <w:numFmt w:val="bullet"/>
      <w:lvlText w:val="o"/>
      <w:lvlJc w:val="left"/>
      <w:pPr>
        <w:ind w:left="4320" w:hanging="360"/>
      </w:pPr>
      <w:rPr>
        <w:rFonts w:ascii="Courier New" w:hAnsi="Courier New" w:cs="Courier New" w:hint="default"/>
      </w:rPr>
    </w:lvl>
    <w:lvl w:ilvl="5" w:tplc="2C0A0005" w:tentative="1">
      <w:start w:val="1"/>
      <w:numFmt w:val="bullet"/>
      <w:lvlText w:val=""/>
      <w:lvlJc w:val="left"/>
      <w:pPr>
        <w:ind w:left="5040" w:hanging="360"/>
      </w:pPr>
      <w:rPr>
        <w:rFonts w:ascii="Wingdings" w:hAnsi="Wingdings" w:hint="default"/>
      </w:rPr>
    </w:lvl>
    <w:lvl w:ilvl="6" w:tplc="2C0A0001" w:tentative="1">
      <w:start w:val="1"/>
      <w:numFmt w:val="bullet"/>
      <w:lvlText w:val=""/>
      <w:lvlJc w:val="left"/>
      <w:pPr>
        <w:ind w:left="5760" w:hanging="360"/>
      </w:pPr>
      <w:rPr>
        <w:rFonts w:ascii="Symbol" w:hAnsi="Symbol" w:hint="default"/>
      </w:rPr>
    </w:lvl>
    <w:lvl w:ilvl="7" w:tplc="2C0A0003" w:tentative="1">
      <w:start w:val="1"/>
      <w:numFmt w:val="bullet"/>
      <w:lvlText w:val="o"/>
      <w:lvlJc w:val="left"/>
      <w:pPr>
        <w:ind w:left="6480" w:hanging="360"/>
      </w:pPr>
      <w:rPr>
        <w:rFonts w:ascii="Courier New" w:hAnsi="Courier New" w:cs="Courier New" w:hint="default"/>
      </w:rPr>
    </w:lvl>
    <w:lvl w:ilvl="8" w:tplc="2C0A0005" w:tentative="1">
      <w:start w:val="1"/>
      <w:numFmt w:val="bullet"/>
      <w:lvlText w:val=""/>
      <w:lvlJc w:val="left"/>
      <w:pPr>
        <w:ind w:left="7200" w:hanging="360"/>
      </w:pPr>
      <w:rPr>
        <w:rFonts w:ascii="Wingdings" w:hAnsi="Wingdings" w:hint="default"/>
      </w:rPr>
    </w:lvl>
  </w:abstractNum>
  <w:abstractNum w:abstractNumId="13" w15:restartNumberingAfterBreak="0">
    <w:nsid w:val="421736B1"/>
    <w:multiLevelType w:val="hybridMultilevel"/>
    <w:tmpl w:val="CC56A40C"/>
    <w:lvl w:ilvl="0" w:tplc="21C02C94">
      <w:start w:val="1"/>
      <w:numFmt w:val="bullet"/>
      <w:lvlText w:val=""/>
      <w:lvlJc w:val="left"/>
      <w:pPr>
        <w:ind w:left="720" w:hanging="360"/>
      </w:pPr>
      <w:rPr>
        <w:rFonts w:ascii="Symbol" w:hAnsi="Symbol" w:hint="default"/>
        <w:color w:val="auto"/>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4" w15:restartNumberingAfterBreak="0">
    <w:nsid w:val="4CAF1B65"/>
    <w:multiLevelType w:val="hybridMultilevel"/>
    <w:tmpl w:val="599AEB96"/>
    <w:lvl w:ilvl="0" w:tplc="5590D6BA">
      <w:start w:val="1"/>
      <w:numFmt w:val="bullet"/>
      <w:lvlText w:val=""/>
      <w:lvlJc w:val="left"/>
      <w:pPr>
        <w:tabs>
          <w:tab w:val="num" w:pos="851"/>
        </w:tabs>
        <w:ind w:left="851" w:hanging="851"/>
      </w:pPr>
      <w:rPr>
        <w:rFonts w:ascii="Symbol" w:hAnsi="Symbol" w:hint="default"/>
        <w:color w:val="auto"/>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5416139E"/>
    <w:multiLevelType w:val="hybridMultilevel"/>
    <w:tmpl w:val="79C4CB4C"/>
    <w:lvl w:ilvl="0" w:tplc="21C02C94">
      <w:start w:val="1"/>
      <w:numFmt w:val="bullet"/>
      <w:lvlText w:val=""/>
      <w:lvlJc w:val="left"/>
      <w:pPr>
        <w:ind w:left="1440" w:hanging="360"/>
      </w:pPr>
      <w:rPr>
        <w:rFonts w:ascii="Symbol" w:hAnsi="Symbol" w:hint="default"/>
        <w:color w:val="auto"/>
      </w:rPr>
    </w:lvl>
    <w:lvl w:ilvl="1" w:tplc="2C0A0003" w:tentative="1">
      <w:start w:val="1"/>
      <w:numFmt w:val="bullet"/>
      <w:lvlText w:val="o"/>
      <w:lvlJc w:val="left"/>
      <w:pPr>
        <w:ind w:left="2160" w:hanging="360"/>
      </w:pPr>
      <w:rPr>
        <w:rFonts w:ascii="Courier New" w:hAnsi="Courier New" w:cs="Courier New" w:hint="default"/>
      </w:rPr>
    </w:lvl>
    <w:lvl w:ilvl="2" w:tplc="2C0A0005" w:tentative="1">
      <w:start w:val="1"/>
      <w:numFmt w:val="bullet"/>
      <w:lvlText w:val=""/>
      <w:lvlJc w:val="left"/>
      <w:pPr>
        <w:ind w:left="2880" w:hanging="360"/>
      </w:pPr>
      <w:rPr>
        <w:rFonts w:ascii="Wingdings" w:hAnsi="Wingdings" w:hint="default"/>
      </w:rPr>
    </w:lvl>
    <w:lvl w:ilvl="3" w:tplc="2C0A0001" w:tentative="1">
      <w:start w:val="1"/>
      <w:numFmt w:val="bullet"/>
      <w:lvlText w:val=""/>
      <w:lvlJc w:val="left"/>
      <w:pPr>
        <w:ind w:left="3600" w:hanging="360"/>
      </w:pPr>
      <w:rPr>
        <w:rFonts w:ascii="Symbol" w:hAnsi="Symbol" w:hint="default"/>
      </w:rPr>
    </w:lvl>
    <w:lvl w:ilvl="4" w:tplc="2C0A0003" w:tentative="1">
      <w:start w:val="1"/>
      <w:numFmt w:val="bullet"/>
      <w:lvlText w:val="o"/>
      <w:lvlJc w:val="left"/>
      <w:pPr>
        <w:ind w:left="4320" w:hanging="360"/>
      </w:pPr>
      <w:rPr>
        <w:rFonts w:ascii="Courier New" w:hAnsi="Courier New" w:cs="Courier New" w:hint="default"/>
      </w:rPr>
    </w:lvl>
    <w:lvl w:ilvl="5" w:tplc="2C0A0005" w:tentative="1">
      <w:start w:val="1"/>
      <w:numFmt w:val="bullet"/>
      <w:lvlText w:val=""/>
      <w:lvlJc w:val="left"/>
      <w:pPr>
        <w:ind w:left="5040" w:hanging="360"/>
      </w:pPr>
      <w:rPr>
        <w:rFonts w:ascii="Wingdings" w:hAnsi="Wingdings" w:hint="default"/>
      </w:rPr>
    </w:lvl>
    <w:lvl w:ilvl="6" w:tplc="2C0A0001" w:tentative="1">
      <w:start w:val="1"/>
      <w:numFmt w:val="bullet"/>
      <w:lvlText w:val=""/>
      <w:lvlJc w:val="left"/>
      <w:pPr>
        <w:ind w:left="5760" w:hanging="360"/>
      </w:pPr>
      <w:rPr>
        <w:rFonts w:ascii="Symbol" w:hAnsi="Symbol" w:hint="default"/>
      </w:rPr>
    </w:lvl>
    <w:lvl w:ilvl="7" w:tplc="2C0A0003" w:tentative="1">
      <w:start w:val="1"/>
      <w:numFmt w:val="bullet"/>
      <w:lvlText w:val="o"/>
      <w:lvlJc w:val="left"/>
      <w:pPr>
        <w:ind w:left="6480" w:hanging="360"/>
      </w:pPr>
      <w:rPr>
        <w:rFonts w:ascii="Courier New" w:hAnsi="Courier New" w:cs="Courier New" w:hint="default"/>
      </w:rPr>
    </w:lvl>
    <w:lvl w:ilvl="8" w:tplc="2C0A0005" w:tentative="1">
      <w:start w:val="1"/>
      <w:numFmt w:val="bullet"/>
      <w:lvlText w:val=""/>
      <w:lvlJc w:val="left"/>
      <w:pPr>
        <w:ind w:left="7200" w:hanging="360"/>
      </w:pPr>
      <w:rPr>
        <w:rFonts w:ascii="Wingdings" w:hAnsi="Wingdings" w:hint="default"/>
      </w:rPr>
    </w:lvl>
  </w:abstractNum>
  <w:abstractNum w:abstractNumId="16" w15:restartNumberingAfterBreak="0">
    <w:nsid w:val="5D01472E"/>
    <w:multiLevelType w:val="hybridMultilevel"/>
    <w:tmpl w:val="DC16E654"/>
    <w:lvl w:ilvl="0" w:tplc="21C02C94">
      <w:start w:val="1"/>
      <w:numFmt w:val="bullet"/>
      <w:lvlText w:val=""/>
      <w:lvlJc w:val="left"/>
      <w:pPr>
        <w:tabs>
          <w:tab w:val="num" w:pos="851"/>
        </w:tabs>
        <w:ind w:left="851" w:hanging="851"/>
      </w:pPr>
      <w:rPr>
        <w:rFonts w:ascii="Symbol" w:hAnsi="Symbol" w:hint="default"/>
        <w:color w:val="auto"/>
      </w:rPr>
    </w:lvl>
    <w:lvl w:ilvl="1" w:tplc="0C0A0003" w:tentative="1">
      <w:start w:val="1"/>
      <w:numFmt w:val="bullet"/>
      <w:lvlText w:val="o"/>
      <w:lvlJc w:val="left"/>
      <w:pPr>
        <w:tabs>
          <w:tab w:val="num" w:pos="1980"/>
        </w:tabs>
        <w:ind w:left="1980" w:hanging="360"/>
      </w:pPr>
      <w:rPr>
        <w:rFonts w:ascii="Courier New" w:hAnsi="Courier New" w:cs="Courier New" w:hint="default"/>
      </w:rPr>
    </w:lvl>
    <w:lvl w:ilvl="2" w:tplc="0C0A0005" w:tentative="1">
      <w:start w:val="1"/>
      <w:numFmt w:val="bullet"/>
      <w:lvlText w:val=""/>
      <w:lvlJc w:val="left"/>
      <w:pPr>
        <w:tabs>
          <w:tab w:val="num" w:pos="2700"/>
        </w:tabs>
        <w:ind w:left="2700" w:hanging="360"/>
      </w:pPr>
      <w:rPr>
        <w:rFonts w:ascii="Wingdings" w:hAnsi="Wingdings" w:hint="default"/>
      </w:rPr>
    </w:lvl>
    <w:lvl w:ilvl="3" w:tplc="0C0A0001" w:tentative="1">
      <w:start w:val="1"/>
      <w:numFmt w:val="bullet"/>
      <w:lvlText w:val=""/>
      <w:lvlJc w:val="left"/>
      <w:pPr>
        <w:tabs>
          <w:tab w:val="num" w:pos="3420"/>
        </w:tabs>
        <w:ind w:left="3420" w:hanging="360"/>
      </w:pPr>
      <w:rPr>
        <w:rFonts w:ascii="Symbol" w:hAnsi="Symbol" w:hint="default"/>
      </w:rPr>
    </w:lvl>
    <w:lvl w:ilvl="4" w:tplc="0C0A0003" w:tentative="1">
      <w:start w:val="1"/>
      <w:numFmt w:val="bullet"/>
      <w:lvlText w:val="o"/>
      <w:lvlJc w:val="left"/>
      <w:pPr>
        <w:tabs>
          <w:tab w:val="num" w:pos="4140"/>
        </w:tabs>
        <w:ind w:left="4140" w:hanging="360"/>
      </w:pPr>
      <w:rPr>
        <w:rFonts w:ascii="Courier New" w:hAnsi="Courier New" w:cs="Courier New" w:hint="default"/>
      </w:rPr>
    </w:lvl>
    <w:lvl w:ilvl="5" w:tplc="0C0A0005" w:tentative="1">
      <w:start w:val="1"/>
      <w:numFmt w:val="bullet"/>
      <w:lvlText w:val=""/>
      <w:lvlJc w:val="left"/>
      <w:pPr>
        <w:tabs>
          <w:tab w:val="num" w:pos="4860"/>
        </w:tabs>
        <w:ind w:left="4860" w:hanging="360"/>
      </w:pPr>
      <w:rPr>
        <w:rFonts w:ascii="Wingdings" w:hAnsi="Wingdings" w:hint="default"/>
      </w:rPr>
    </w:lvl>
    <w:lvl w:ilvl="6" w:tplc="0C0A0001" w:tentative="1">
      <w:start w:val="1"/>
      <w:numFmt w:val="bullet"/>
      <w:lvlText w:val=""/>
      <w:lvlJc w:val="left"/>
      <w:pPr>
        <w:tabs>
          <w:tab w:val="num" w:pos="5580"/>
        </w:tabs>
        <w:ind w:left="5580" w:hanging="360"/>
      </w:pPr>
      <w:rPr>
        <w:rFonts w:ascii="Symbol" w:hAnsi="Symbol" w:hint="default"/>
      </w:rPr>
    </w:lvl>
    <w:lvl w:ilvl="7" w:tplc="0C0A0003" w:tentative="1">
      <w:start w:val="1"/>
      <w:numFmt w:val="bullet"/>
      <w:lvlText w:val="o"/>
      <w:lvlJc w:val="left"/>
      <w:pPr>
        <w:tabs>
          <w:tab w:val="num" w:pos="6300"/>
        </w:tabs>
        <w:ind w:left="6300" w:hanging="360"/>
      </w:pPr>
      <w:rPr>
        <w:rFonts w:ascii="Courier New" w:hAnsi="Courier New" w:cs="Courier New" w:hint="default"/>
      </w:rPr>
    </w:lvl>
    <w:lvl w:ilvl="8" w:tplc="0C0A0005" w:tentative="1">
      <w:start w:val="1"/>
      <w:numFmt w:val="bullet"/>
      <w:lvlText w:val=""/>
      <w:lvlJc w:val="left"/>
      <w:pPr>
        <w:tabs>
          <w:tab w:val="num" w:pos="7020"/>
        </w:tabs>
        <w:ind w:left="7020" w:hanging="360"/>
      </w:pPr>
      <w:rPr>
        <w:rFonts w:ascii="Wingdings" w:hAnsi="Wingdings" w:hint="default"/>
      </w:rPr>
    </w:lvl>
  </w:abstractNum>
  <w:abstractNum w:abstractNumId="17" w15:restartNumberingAfterBreak="0">
    <w:nsid w:val="5F7B4B03"/>
    <w:multiLevelType w:val="hybridMultilevel"/>
    <w:tmpl w:val="000ACB3E"/>
    <w:lvl w:ilvl="0" w:tplc="21C02C94">
      <w:start w:val="1"/>
      <w:numFmt w:val="bullet"/>
      <w:lvlText w:val=""/>
      <w:lvlJc w:val="left"/>
      <w:pPr>
        <w:tabs>
          <w:tab w:val="num" w:pos="851"/>
        </w:tabs>
        <w:ind w:left="851" w:hanging="851"/>
      </w:pPr>
      <w:rPr>
        <w:rFonts w:ascii="Symbol" w:hAnsi="Symbol" w:hint="default"/>
        <w:color w:val="auto"/>
      </w:rPr>
    </w:lvl>
    <w:lvl w:ilvl="1" w:tplc="0C0A0003" w:tentative="1">
      <w:start w:val="1"/>
      <w:numFmt w:val="bullet"/>
      <w:lvlText w:val="o"/>
      <w:lvlJc w:val="left"/>
      <w:pPr>
        <w:tabs>
          <w:tab w:val="num" w:pos="1980"/>
        </w:tabs>
        <w:ind w:left="1980" w:hanging="360"/>
      </w:pPr>
      <w:rPr>
        <w:rFonts w:ascii="Courier New" w:hAnsi="Courier New" w:cs="Courier New" w:hint="default"/>
      </w:rPr>
    </w:lvl>
    <w:lvl w:ilvl="2" w:tplc="0C0A0005" w:tentative="1">
      <w:start w:val="1"/>
      <w:numFmt w:val="bullet"/>
      <w:lvlText w:val=""/>
      <w:lvlJc w:val="left"/>
      <w:pPr>
        <w:tabs>
          <w:tab w:val="num" w:pos="2700"/>
        </w:tabs>
        <w:ind w:left="2700" w:hanging="360"/>
      </w:pPr>
      <w:rPr>
        <w:rFonts w:ascii="Wingdings" w:hAnsi="Wingdings" w:hint="default"/>
      </w:rPr>
    </w:lvl>
    <w:lvl w:ilvl="3" w:tplc="0C0A0001" w:tentative="1">
      <w:start w:val="1"/>
      <w:numFmt w:val="bullet"/>
      <w:lvlText w:val=""/>
      <w:lvlJc w:val="left"/>
      <w:pPr>
        <w:tabs>
          <w:tab w:val="num" w:pos="3420"/>
        </w:tabs>
        <w:ind w:left="3420" w:hanging="360"/>
      </w:pPr>
      <w:rPr>
        <w:rFonts w:ascii="Symbol" w:hAnsi="Symbol" w:hint="default"/>
      </w:rPr>
    </w:lvl>
    <w:lvl w:ilvl="4" w:tplc="0C0A0003" w:tentative="1">
      <w:start w:val="1"/>
      <w:numFmt w:val="bullet"/>
      <w:lvlText w:val="o"/>
      <w:lvlJc w:val="left"/>
      <w:pPr>
        <w:tabs>
          <w:tab w:val="num" w:pos="4140"/>
        </w:tabs>
        <w:ind w:left="4140" w:hanging="360"/>
      </w:pPr>
      <w:rPr>
        <w:rFonts w:ascii="Courier New" w:hAnsi="Courier New" w:cs="Courier New" w:hint="default"/>
      </w:rPr>
    </w:lvl>
    <w:lvl w:ilvl="5" w:tplc="0C0A0005" w:tentative="1">
      <w:start w:val="1"/>
      <w:numFmt w:val="bullet"/>
      <w:lvlText w:val=""/>
      <w:lvlJc w:val="left"/>
      <w:pPr>
        <w:tabs>
          <w:tab w:val="num" w:pos="4860"/>
        </w:tabs>
        <w:ind w:left="4860" w:hanging="360"/>
      </w:pPr>
      <w:rPr>
        <w:rFonts w:ascii="Wingdings" w:hAnsi="Wingdings" w:hint="default"/>
      </w:rPr>
    </w:lvl>
    <w:lvl w:ilvl="6" w:tplc="0C0A0001" w:tentative="1">
      <w:start w:val="1"/>
      <w:numFmt w:val="bullet"/>
      <w:lvlText w:val=""/>
      <w:lvlJc w:val="left"/>
      <w:pPr>
        <w:tabs>
          <w:tab w:val="num" w:pos="5580"/>
        </w:tabs>
        <w:ind w:left="5580" w:hanging="360"/>
      </w:pPr>
      <w:rPr>
        <w:rFonts w:ascii="Symbol" w:hAnsi="Symbol" w:hint="default"/>
      </w:rPr>
    </w:lvl>
    <w:lvl w:ilvl="7" w:tplc="0C0A0003" w:tentative="1">
      <w:start w:val="1"/>
      <w:numFmt w:val="bullet"/>
      <w:lvlText w:val="o"/>
      <w:lvlJc w:val="left"/>
      <w:pPr>
        <w:tabs>
          <w:tab w:val="num" w:pos="6300"/>
        </w:tabs>
        <w:ind w:left="6300" w:hanging="360"/>
      </w:pPr>
      <w:rPr>
        <w:rFonts w:ascii="Courier New" w:hAnsi="Courier New" w:cs="Courier New" w:hint="default"/>
      </w:rPr>
    </w:lvl>
    <w:lvl w:ilvl="8" w:tplc="0C0A0005" w:tentative="1">
      <w:start w:val="1"/>
      <w:numFmt w:val="bullet"/>
      <w:lvlText w:val=""/>
      <w:lvlJc w:val="left"/>
      <w:pPr>
        <w:tabs>
          <w:tab w:val="num" w:pos="7020"/>
        </w:tabs>
        <w:ind w:left="7020" w:hanging="360"/>
      </w:pPr>
      <w:rPr>
        <w:rFonts w:ascii="Wingdings" w:hAnsi="Wingdings" w:hint="default"/>
      </w:rPr>
    </w:lvl>
  </w:abstractNum>
  <w:abstractNum w:abstractNumId="18" w15:restartNumberingAfterBreak="0">
    <w:nsid w:val="65E00543"/>
    <w:multiLevelType w:val="hybridMultilevel"/>
    <w:tmpl w:val="9C865484"/>
    <w:lvl w:ilvl="0" w:tplc="21C02C94">
      <w:start w:val="1"/>
      <w:numFmt w:val="bullet"/>
      <w:lvlText w:val=""/>
      <w:lvlJc w:val="left"/>
      <w:pPr>
        <w:ind w:left="720" w:hanging="360"/>
      </w:pPr>
      <w:rPr>
        <w:rFonts w:ascii="Symbol" w:hAnsi="Symbol" w:hint="default"/>
        <w:color w:val="auto"/>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19" w15:restartNumberingAfterBreak="0">
    <w:nsid w:val="6DB16AE2"/>
    <w:multiLevelType w:val="hybridMultilevel"/>
    <w:tmpl w:val="3D6CE732"/>
    <w:lvl w:ilvl="0" w:tplc="21C02C94">
      <w:start w:val="1"/>
      <w:numFmt w:val="bullet"/>
      <w:lvlText w:val=""/>
      <w:lvlJc w:val="left"/>
      <w:pPr>
        <w:tabs>
          <w:tab w:val="num" w:pos="851"/>
        </w:tabs>
        <w:ind w:left="851" w:hanging="851"/>
      </w:pPr>
      <w:rPr>
        <w:rFonts w:ascii="Symbol" w:hAnsi="Symbol" w:hint="default"/>
        <w:color w:val="auto"/>
      </w:rPr>
    </w:lvl>
    <w:lvl w:ilvl="1" w:tplc="5590D6BA">
      <w:start w:val="1"/>
      <w:numFmt w:val="bullet"/>
      <w:lvlText w:val=""/>
      <w:lvlJc w:val="left"/>
      <w:pPr>
        <w:tabs>
          <w:tab w:val="num" w:pos="2471"/>
        </w:tabs>
        <w:ind w:left="2471" w:hanging="851"/>
      </w:pPr>
      <w:rPr>
        <w:rFonts w:ascii="Symbol" w:hAnsi="Symbol" w:hint="default"/>
        <w:color w:val="auto"/>
      </w:rPr>
    </w:lvl>
    <w:lvl w:ilvl="2" w:tplc="0C0A0005" w:tentative="1">
      <w:start w:val="1"/>
      <w:numFmt w:val="bullet"/>
      <w:lvlText w:val=""/>
      <w:lvlJc w:val="left"/>
      <w:pPr>
        <w:tabs>
          <w:tab w:val="num" w:pos="2700"/>
        </w:tabs>
        <w:ind w:left="2700" w:hanging="360"/>
      </w:pPr>
      <w:rPr>
        <w:rFonts w:ascii="Wingdings" w:hAnsi="Wingdings" w:hint="default"/>
      </w:rPr>
    </w:lvl>
    <w:lvl w:ilvl="3" w:tplc="0C0A0001" w:tentative="1">
      <w:start w:val="1"/>
      <w:numFmt w:val="bullet"/>
      <w:lvlText w:val=""/>
      <w:lvlJc w:val="left"/>
      <w:pPr>
        <w:tabs>
          <w:tab w:val="num" w:pos="3420"/>
        </w:tabs>
        <w:ind w:left="3420" w:hanging="360"/>
      </w:pPr>
      <w:rPr>
        <w:rFonts w:ascii="Symbol" w:hAnsi="Symbol" w:hint="default"/>
      </w:rPr>
    </w:lvl>
    <w:lvl w:ilvl="4" w:tplc="0C0A0003" w:tentative="1">
      <w:start w:val="1"/>
      <w:numFmt w:val="bullet"/>
      <w:lvlText w:val="o"/>
      <w:lvlJc w:val="left"/>
      <w:pPr>
        <w:tabs>
          <w:tab w:val="num" w:pos="4140"/>
        </w:tabs>
        <w:ind w:left="4140" w:hanging="360"/>
      </w:pPr>
      <w:rPr>
        <w:rFonts w:ascii="Courier New" w:hAnsi="Courier New" w:cs="Courier New" w:hint="default"/>
      </w:rPr>
    </w:lvl>
    <w:lvl w:ilvl="5" w:tplc="0C0A0005" w:tentative="1">
      <w:start w:val="1"/>
      <w:numFmt w:val="bullet"/>
      <w:lvlText w:val=""/>
      <w:lvlJc w:val="left"/>
      <w:pPr>
        <w:tabs>
          <w:tab w:val="num" w:pos="4860"/>
        </w:tabs>
        <w:ind w:left="4860" w:hanging="360"/>
      </w:pPr>
      <w:rPr>
        <w:rFonts w:ascii="Wingdings" w:hAnsi="Wingdings" w:hint="default"/>
      </w:rPr>
    </w:lvl>
    <w:lvl w:ilvl="6" w:tplc="0C0A0001" w:tentative="1">
      <w:start w:val="1"/>
      <w:numFmt w:val="bullet"/>
      <w:lvlText w:val=""/>
      <w:lvlJc w:val="left"/>
      <w:pPr>
        <w:tabs>
          <w:tab w:val="num" w:pos="5580"/>
        </w:tabs>
        <w:ind w:left="5580" w:hanging="360"/>
      </w:pPr>
      <w:rPr>
        <w:rFonts w:ascii="Symbol" w:hAnsi="Symbol" w:hint="default"/>
      </w:rPr>
    </w:lvl>
    <w:lvl w:ilvl="7" w:tplc="0C0A0003" w:tentative="1">
      <w:start w:val="1"/>
      <w:numFmt w:val="bullet"/>
      <w:lvlText w:val="o"/>
      <w:lvlJc w:val="left"/>
      <w:pPr>
        <w:tabs>
          <w:tab w:val="num" w:pos="6300"/>
        </w:tabs>
        <w:ind w:left="6300" w:hanging="360"/>
      </w:pPr>
      <w:rPr>
        <w:rFonts w:ascii="Courier New" w:hAnsi="Courier New" w:cs="Courier New" w:hint="default"/>
      </w:rPr>
    </w:lvl>
    <w:lvl w:ilvl="8" w:tplc="0C0A0005" w:tentative="1">
      <w:start w:val="1"/>
      <w:numFmt w:val="bullet"/>
      <w:lvlText w:val=""/>
      <w:lvlJc w:val="left"/>
      <w:pPr>
        <w:tabs>
          <w:tab w:val="num" w:pos="7020"/>
        </w:tabs>
        <w:ind w:left="7020" w:hanging="360"/>
      </w:pPr>
      <w:rPr>
        <w:rFonts w:ascii="Wingdings" w:hAnsi="Wingdings" w:hint="default"/>
      </w:rPr>
    </w:lvl>
  </w:abstractNum>
  <w:abstractNum w:abstractNumId="20" w15:restartNumberingAfterBreak="0">
    <w:nsid w:val="736A725F"/>
    <w:multiLevelType w:val="hybridMultilevel"/>
    <w:tmpl w:val="05EECA5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1" w15:restartNumberingAfterBreak="0">
    <w:nsid w:val="77D160F7"/>
    <w:multiLevelType w:val="hybridMultilevel"/>
    <w:tmpl w:val="0B0C428C"/>
    <w:lvl w:ilvl="0" w:tplc="590A6DF2">
      <w:start w:val="1"/>
      <w:numFmt w:val="bullet"/>
      <w:lvlText w:val=""/>
      <w:lvlJc w:val="left"/>
      <w:pPr>
        <w:ind w:left="720" w:hanging="360"/>
      </w:pPr>
      <w:rPr>
        <w:rFonts w:ascii="Symbol" w:hAnsi="Symbol" w:hint="default"/>
        <w:color w:val="auto"/>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22" w15:restartNumberingAfterBreak="0">
    <w:nsid w:val="7D336BA4"/>
    <w:multiLevelType w:val="hybridMultilevel"/>
    <w:tmpl w:val="66EE29E2"/>
    <w:lvl w:ilvl="0" w:tplc="21C02C94">
      <w:start w:val="1"/>
      <w:numFmt w:val="bullet"/>
      <w:lvlText w:val=""/>
      <w:lvlJc w:val="left"/>
      <w:pPr>
        <w:ind w:left="1440" w:hanging="360"/>
      </w:pPr>
      <w:rPr>
        <w:rFonts w:ascii="Symbol" w:hAnsi="Symbol" w:hint="default"/>
        <w:color w:val="auto"/>
      </w:rPr>
    </w:lvl>
    <w:lvl w:ilvl="1" w:tplc="2C0A0003" w:tentative="1">
      <w:start w:val="1"/>
      <w:numFmt w:val="bullet"/>
      <w:lvlText w:val="o"/>
      <w:lvlJc w:val="left"/>
      <w:pPr>
        <w:ind w:left="2160" w:hanging="360"/>
      </w:pPr>
      <w:rPr>
        <w:rFonts w:ascii="Courier New" w:hAnsi="Courier New" w:cs="Courier New" w:hint="default"/>
      </w:rPr>
    </w:lvl>
    <w:lvl w:ilvl="2" w:tplc="2C0A0005" w:tentative="1">
      <w:start w:val="1"/>
      <w:numFmt w:val="bullet"/>
      <w:lvlText w:val=""/>
      <w:lvlJc w:val="left"/>
      <w:pPr>
        <w:ind w:left="2880" w:hanging="360"/>
      </w:pPr>
      <w:rPr>
        <w:rFonts w:ascii="Wingdings" w:hAnsi="Wingdings" w:hint="default"/>
      </w:rPr>
    </w:lvl>
    <w:lvl w:ilvl="3" w:tplc="2C0A0001" w:tentative="1">
      <w:start w:val="1"/>
      <w:numFmt w:val="bullet"/>
      <w:lvlText w:val=""/>
      <w:lvlJc w:val="left"/>
      <w:pPr>
        <w:ind w:left="3600" w:hanging="360"/>
      </w:pPr>
      <w:rPr>
        <w:rFonts w:ascii="Symbol" w:hAnsi="Symbol" w:hint="default"/>
      </w:rPr>
    </w:lvl>
    <w:lvl w:ilvl="4" w:tplc="2C0A0003" w:tentative="1">
      <w:start w:val="1"/>
      <w:numFmt w:val="bullet"/>
      <w:lvlText w:val="o"/>
      <w:lvlJc w:val="left"/>
      <w:pPr>
        <w:ind w:left="4320" w:hanging="360"/>
      </w:pPr>
      <w:rPr>
        <w:rFonts w:ascii="Courier New" w:hAnsi="Courier New" w:cs="Courier New" w:hint="default"/>
      </w:rPr>
    </w:lvl>
    <w:lvl w:ilvl="5" w:tplc="2C0A0005" w:tentative="1">
      <w:start w:val="1"/>
      <w:numFmt w:val="bullet"/>
      <w:lvlText w:val=""/>
      <w:lvlJc w:val="left"/>
      <w:pPr>
        <w:ind w:left="5040" w:hanging="360"/>
      </w:pPr>
      <w:rPr>
        <w:rFonts w:ascii="Wingdings" w:hAnsi="Wingdings" w:hint="default"/>
      </w:rPr>
    </w:lvl>
    <w:lvl w:ilvl="6" w:tplc="2C0A0001" w:tentative="1">
      <w:start w:val="1"/>
      <w:numFmt w:val="bullet"/>
      <w:lvlText w:val=""/>
      <w:lvlJc w:val="left"/>
      <w:pPr>
        <w:ind w:left="5760" w:hanging="360"/>
      </w:pPr>
      <w:rPr>
        <w:rFonts w:ascii="Symbol" w:hAnsi="Symbol" w:hint="default"/>
      </w:rPr>
    </w:lvl>
    <w:lvl w:ilvl="7" w:tplc="2C0A0003" w:tentative="1">
      <w:start w:val="1"/>
      <w:numFmt w:val="bullet"/>
      <w:lvlText w:val="o"/>
      <w:lvlJc w:val="left"/>
      <w:pPr>
        <w:ind w:left="6480" w:hanging="360"/>
      </w:pPr>
      <w:rPr>
        <w:rFonts w:ascii="Courier New" w:hAnsi="Courier New" w:cs="Courier New" w:hint="default"/>
      </w:rPr>
    </w:lvl>
    <w:lvl w:ilvl="8" w:tplc="2C0A0005" w:tentative="1">
      <w:start w:val="1"/>
      <w:numFmt w:val="bullet"/>
      <w:lvlText w:val=""/>
      <w:lvlJc w:val="left"/>
      <w:pPr>
        <w:ind w:left="7200" w:hanging="360"/>
      </w:pPr>
      <w:rPr>
        <w:rFonts w:ascii="Wingdings" w:hAnsi="Wingdings" w:hint="default"/>
      </w:rPr>
    </w:lvl>
  </w:abstractNum>
  <w:num w:numId="1">
    <w:abstractNumId w:val="3"/>
  </w:num>
  <w:num w:numId="2">
    <w:abstractNumId w:val="9"/>
  </w:num>
  <w:num w:numId="3">
    <w:abstractNumId w:val="16"/>
  </w:num>
  <w:num w:numId="4">
    <w:abstractNumId w:val="19"/>
  </w:num>
  <w:num w:numId="5">
    <w:abstractNumId w:val="11"/>
  </w:num>
  <w:num w:numId="6">
    <w:abstractNumId w:val="17"/>
  </w:num>
  <w:num w:numId="7">
    <w:abstractNumId w:val="0"/>
  </w:num>
  <w:num w:numId="8">
    <w:abstractNumId w:val="2"/>
  </w:num>
  <w:num w:numId="9">
    <w:abstractNumId w:val="14"/>
  </w:num>
  <w:num w:numId="10">
    <w:abstractNumId w:val="20"/>
  </w:num>
  <w:num w:numId="11">
    <w:abstractNumId w:val="13"/>
  </w:num>
  <w:num w:numId="12">
    <w:abstractNumId w:val="6"/>
  </w:num>
  <w:num w:numId="13">
    <w:abstractNumId w:val="7"/>
  </w:num>
  <w:num w:numId="14">
    <w:abstractNumId w:val="18"/>
  </w:num>
  <w:num w:numId="15">
    <w:abstractNumId w:val="15"/>
  </w:num>
  <w:num w:numId="16">
    <w:abstractNumId w:val="12"/>
  </w:num>
  <w:num w:numId="17">
    <w:abstractNumId w:val="1"/>
  </w:num>
  <w:num w:numId="18">
    <w:abstractNumId w:val="22"/>
  </w:num>
  <w:num w:numId="19">
    <w:abstractNumId w:val="8"/>
  </w:num>
  <w:num w:numId="20">
    <w:abstractNumId w:val="5"/>
  </w:num>
  <w:num w:numId="21">
    <w:abstractNumId w:val="21"/>
  </w:num>
  <w:num w:numId="22">
    <w:abstractNumId w:val="10"/>
  </w:num>
  <w:num w:numId="23">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autoHyphenation/>
  <w:hyphenationZone w:val="142"/>
  <w:characterSpacingControl w:val="doNotCompress"/>
  <w:hdrShapeDefaults>
    <o:shapedefaults v:ext="edit" spidmax="2050"/>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E0F3E"/>
    <w:rsid w:val="00001A51"/>
    <w:rsid w:val="00002FC3"/>
    <w:rsid w:val="00005A26"/>
    <w:rsid w:val="00012462"/>
    <w:rsid w:val="00014448"/>
    <w:rsid w:val="00014DA2"/>
    <w:rsid w:val="00016F48"/>
    <w:rsid w:val="00022AA0"/>
    <w:rsid w:val="0002479C"/>
    <w:rsid w:val="000256E3"/>
    <w:rsid w:val="000258A0"/>
    <w:rsid w:val="00026EE7"/>
    <w:rsid w:val="00040D5F"/>
    <w:rsid w:val="0004278A"/>
    <w:rsid w:val="0004651F"/>
    <w:rsid w:val="00053B4A"/>
    <w:rsid w:val="00057E31"/>
    <w:rsid w:val="00064F87"/>
    <w:rsid w:val="0007406A"/>
    <w:rsid w:val="00083DEE"/>
    <w:rsid w:val="00091CDD"/>
    <w:rsid w:val="00091EDA"/>
    <w:rsid w:val="00093BD3"/>
    <w:rsid w:val="000A106A"/>
    <w:rsid w:val="000A26F9"/>
    <w:rsid w:val="000A2EB9"/>
    <w:rsid w:val="000B58BD"/>
    <w:rsid w:val="000C0B0B"/>
    <w:rsid w:val="000C3150"/>
    <w:rsid w:val="000C4088"/>
    <w:rsid w:val="000D1630"/>
    <w:rsid w:val="000D5041"/>
    <w:rsid w:val="000E1492"/>
    <w:rsid w:val="000E19B9"/>
    <w:rsid w:val="000E1C8C"/>
    <w:rsid w:val="000E4227"/>
    <w:rsid w:val="000F0219"/>
    <w:rsid w:val="000F0626"/>
    <w:rsid w:val="000F205A"/>
    <w:rsid w:val="000F472A"/>
    <w:rsid w:val="000F4AE1"/>
    <w:rsid w:val="000F6866"/>
    <w:rsid w:val="00102C41"/>
    <w:rsid w:val="001076B4"/>
    <w:rsid w:val="00107DD2"/>
    <w:rsid w:val="0012150C"/>
    <w:rsid w:val="0013145A"/>
    <w:rsid w:val="0013154F"/>
    <w:rsid w:val="00140A83"/>
    <w:rsid w:val="0014125F"/>
    <w:rsid w:val="00143450"/>
    <w:rsid w:val="00150E09"/>
    <w:rsid w:val="00156D56"/>
    <w:rsid w:val="00165684"/>
    <w:rsid w:val="00177F6D"/>
    <w:rsid w:val="001825EB"/>
    <w:rsid w:val="00183A8D"/>
    <w:rsid w:val="00194E95"/>
    <w:rsid w:val="0019507E"/>
    <w:rsid w:val="00197B57"/>
    <w:rsid w:val="001A3CB4"/>
    <w:rsid w:val="001A785B"/>
    <w:rsid w:val="001B1D3C"/>
    <w:rsid w:val="001B44DC"/>
    <w:rsid w:val="001C1FB4"/>
    <w:rsid w:val="001C4A94"/>
    <w:rsid w:val="001C5379"/>
    <w:rsid w:val="001C5B96"/>
    <w:rsid w:val="001D0B7D"/>
    <w:rsid w:val="001D0D49"/>
    <w:rsid w:val="001F09DC"/>
    <w:rsid w:val="00202E84"/>
    <w:rsid w:val="00203B23"/>
    <w:rsid w:val="002153FC"/>
    <w:rsid w:val="00217938"/>
    <w:rsid w:val="0022241D"/>
    <w:rsid w:val="00226F9F"/>
    <w:rsid w:val="00227D2F"/>
    <w:rsid w:val="00234785"/>
    <w:rsid w:val="002369DD"/>
    <w:rsid w:val="0025160F"/>
    <w:rsid w:val="002663EC"/>
    <w:rsid w:val="00267069"/>
    <w:rsid w:val="0027141F"/>
    <w:rsid w:val="00272EF7"/>
    <w:rsid w:val="00275B0F"/>
    <w:rsid w:val="00281B2D"/>
    <w:rsid w:val="002844D6"/>
    <w:rsid w:val="00284D00"/>
    <w:rsid w:val="002A2D77"/>
    <w:rsid w:val="002A31F6"/>
    <w:rsid w:val="002B22C5"/>
    <w:rsid w:val="002B4A19"/>
    <w:rsid w:val="002B6A7F"/>
    <w:rsid w:val="002C0796"/>
    <w:rsid w:val="002C7122"/>
    <w:rsid w:val="002D339B"/>
    <w:rsid w:val="002D554E"/>
    <w:rsid w:val="002D5714"/>
    <w:rsid w:val="002E0E28"/>
    <w:rsid w:val="002E34E4"/>
    <w:rsid w:val="002F1B54"/>
    <w:rsid w:val="002F30D3"/>
    <w:rsid w:val="002F5665"/>
    <w:rsid w:val="0030051E"/>
    <w:rsid w:val="0030068E"/>
    <w:rsid w:val="00303B6D"/>
    <w:rsid w:val="00311202"/>
    <w:rsid w:val="00314DB1"/>
    <w:rsid w:val="00322E74"/>
    <w:rsid w:val="0033058F"/>
    <w:rsid w:val="003325FA"/>
    <w:rsid w:val="00334F85"/>
    <w:rsid w:val="00336430"/>
    <w:rsid w:val="00336823"/>
    <w:rsid w:val="00337616"/>
    <w:rsid w:val="003403CF"/>
    <w:rsid w:val="00340AB1"/>
    <w:rsid w:val="00345F2E"/>
    <w:rsid w:val="003521CE"/>
    <w:rsid w:val="00356D96"/>
    <w:rsid w:val="00364BDD"/>
    <w:rsid w:val="00370E21"/>
    <w:rsid w:val="0038054E"/>
    <w:rsid w:val="00391861"/>
    <w:rsid w:val="00397ED0"/>
    <w:rsid w:val="003A293A"/>
    <w:rsid w:val="003A516A"/>
    <w:rsid w:val="003B2C24"/>
    <w:rsid w:val="003B30B0"/>
    <w:rsid w:val="003B41F0"/>
    <w:rsid w:val="003B76DE"/>
    <w:rsid w:val="003C023D"/>
    <w:rsid w:val="003C4679"/>
    <w:rsid w:val="003C78D3"/>
    <w:rsid w:val="003E2BEF"/>
    <w:rsid w:val="003E3F4C"/>
    <w:rsid w:val="003E4AB9"/>
    <w:rsid w:val="003F0460"/>
    <w:rsid w:val="003F17B8"/>
    <w:rsid w:val="003F5941"/>
    <w:rsid w:val="00400CA4"/>
    <w:rsid w:val="00411A14"/>
    <w:rsid w:val="00423FBF"/>
    <w:rsid w:val="00427E6B"/>
    <w:rsid w:val="00435135"/>
    <w:rsid w:val="0045108D"/>
    <w:rsid w:val="00456E4D"/>
    <w:rsid w:val="004578DD"/>
    <w:rsid w:val="0046772C"/>
    <w:rsid w:val="00473A1C"/>
    <w:rsid w:val="00474B76"/>
    <w:rsid w:val="00474DF3"/>
    <w:rsid w:val="0047526F"/>
    <w:rsid w:val="004755D7"/>
    <w:rsid w:val="00484750"/>
    <w:rsid w:val="00485740"/>
    <w:rsid w:val="004866A9"/>
    <w:rsid w:val="00486CC8"/>
    <w:rsid w:val="00490E22"/>
    <w:rsid w:val="00491EE8"/>
    <w:rsid w:val="004920FC"/>
    <w:rsid w:val="0049335C"/>
    <w:rsid w:val="004945D9"/>
    <w:rsid w:val="004A2BD4"/>
    <w:rsid w:val="004B4789"/>
    <w:rsid w:val="004B61E8"/>
    <w:rsid w:val="004C4C85"/>
    <w:rsid w:val="004C5C35"/>
    <w:rsid w:val="004C67CA"/>
    <w:rsid w:val="004D679A"/>
    <w:rsid w:val="004E003D"/>
    <w:rsid w:val="004E0712"/>
    <w:rsid w:val="004E0E42"/>
    <w:rsid w:val="004E1E41"/>
    <w:rsid w:val="004E54FE"/>
    <w:rsid w:val="004E6C86"/>
    <w:rsid w:val="004F08B0"/>
    <w:rsid w:val="004F63BE"/>
    <w:rsid w:val="004F6ECA"/>
    <w:rsid w:val="0050627F"/>
    <w:rsid w:val="00507603"/>
    <w:rsid w:val="00507B8F"/>
    <w:rsid w:val="005107D1"/>
    <w:rsid w:val="00513C50"/>
    <w:rsid w:val="005157D7"/>
    <w:rsid w:val="005227FD"/>
    <w:rsid w:val="005257D0"/>
    <w:rsid w:val="0052642C"/>
    <w:rsid w:val="005309B7"/>
    <w:rsid w:val="0053253F"/>
    <w:rsid w:val="00532724"/>
    <w:rsid w:val="00535C46"/>
    <w:rsid w:val="005426EA"/>
    <w:rsid w:val="00545FBF"/>
    <w:rsid w:val="00550FBD"/>
    <w:rsid w:val="0055694C"/>
    <w:rsid w:val="0057015B"/>
    <w:rsid w:val="00572467"/>
    <w:rsid w:val="005736DC"/>
    <w:rsid w:val="0057689F"/>
    <w:rsid w:val="00577C21"/>
    <w:rsid w:val="00581283"/>
    <w:rsid w:val="00581335"/>
    <w:rsid w:val="0058340D"/>
    <w:rsid w:val="00590390"/>
    <w:rsid w:val="005923F4"/>
    <w:rsid w:val="00597176"/>
    <w:rsid w:val="005A3B72"/>
    <w:rsid w:val="005A5613"/>
    <w:rsid w:val="005A7EAE"/>
    <w:rsid w:val="005B11C9"/>
    <w:rsid w:val="005B3394"/>
    <w:rsid w:val="005B43D6"/>
    <w:rsid w:val="005B6353"/>
    <w:rsid w:val="005C1E8D"/>
    <w:rsid w:val="005C548D"/>
    <w:rsid w:val="005C60B2"/>
    <w:rsid w:val="005D17D3"/>
    <w:rsid w:val="005D6D30"/>
    <w:rsid w:val="005E5B85"/>
    <w:rsid w:val="005F30DA"/>
    <w:rsid w:val="005F397B"/>
    <w:rsid w:val="005F5567"/>
    <w:rsid w:val="005F5B11"/>
    <w:rsid w:val="006103E9"/>
    <w:rsid w:val="00613744"/>
    <w:rsid w:val="0061438F"/>
    <w:rsid w:val="00615E5B"/>
    <w:rsid w:val="00622E59"/>
    <w:rsid w:val="0062500E"/>
    <w:rsid w:val="0062627E"/>
    <w:rsid w:val="00626BFE"/>
    <w:rsid w:val="006271F7"/>
    <w:rsid w:val="00634320"/>
    <w:rsid w:val="00637447"/>
    <w:rsid w:val="00641905"/>
    <w:rsid w:val="00644992"/>
    <w:rsid w:val="0065190F"/>
    <w:rsid w:val="00653415"/>
    <w:rsid w:val="006715CC"/>
    <w:rsid w:val="006762E9"/>
    <w:rsid w:val="006777C4"/>
    <w:rsid w:val="00681AF9"/>
    <w:rsid w:val="00696C1C"/>
    <w:rsid w:val="00696C4B"/>
    <w:rsid w:val="0069749A"/>
    <w:rsid w:val="006A7880"/>
    <w:rsid w:val="006B5239"/>
    <w:rsid w:val="006C4AE5"/>
    <w:rsid w:val="006C5F2C"/>
    <w:rsid w:val="006C732E"/>
    <w:rsid w:val="006D4684"/>
    <w:rsid w:val="006D5BD7"/>
    <w:rsid w:val="006E153B"/>
    <w:rsid w:val="006F1FAB"/>
    <w:rsid w:val="006F6867"/>
    <w:rsid w:val="00704917"/>
    <w:rsid w:val="0070646B"/>
    <w:rsid w:val="00721580"/>
    <w:rsid w:val="007217A8"/>
    <w:rsid w:val="00732124"/>
    <w:rsid w:val="007327B9"/>
    <w:rsid w:val="00733C4A"/>
    <w:rsid w:val="00736F4E"/>
    <w:rsid w:val="00752E9F"/>
    <w:rsid w:val="00754973"/>
    <w:rsid w:val="007551CA"/>
    <w:rsid w:val="00755BD6"/>
    <w:rsid w:val="00767546"/>
    <w:rsid w:val="007726FD"/>
    <w:rsid w:val="00772BD3"/>
    <w:rsid w:val="007736E9"/>
    <w:rsid w:val="007762E9"/>
    <w:rsid w:val="00780501"/>
    <w:rsid w:val="00783890"/>
    <w:rsid w:val="00796922"/>
    <w:rsid w:val="0079698E"/>
    <w:rsid w:val="007A12C3"/>
    <w:rsid w:val="007A1950"/>
    <w:rsid w:val="007A5D3A"/>
    <w:rsid w:val="007B2950"/>
    <w:rsid w:val="007B7A98"/>
    <w:rsid w:val="007C2309"/>
    <w:rsid w:val="007C3A15"/>
    <w:rsid w:val="007D00CD"/>
    <w:rsid w:val="007D2659"/>
    <w:rsid w:val="007D2CF1"/>
    <w:rsid w:val="007D348B"/>
    <w:rsid w:val="007D3E6E"/>
    <w:rsid w:val="007D660B"/>
    <w:rsid w:val="007D6B05"/>
    <w:rsid w:val="007D73A0"/>
    <w:rsid w:val="007E690A"/>
    <w:rsid w:val="007E6DFB"/>
    <w:rsid w:val="007E7A12"/>
    <w:rsid w:val="007F11EB"/>
    <w:rsid w:val="007F298C"/>
    <w:rsid w:val="0080032F"/>
    <w:rsid w:val="00803C2B"/>
    <w:rsid w:val="00804DD7"/>
    <w:rsid w:val="00806E42"/>
    <w:rsid w:val="00813C02"/>
    <w:rsid w:val="0081769D"/>
    <w:rsid w:val="008223E1"/>
    <w:rsid w:val="00825B48"/>
    <w:rsid w:val="008270ED"/>
    <w:rsid w:val="00832FEB"/>
    <w:rsid w:val="00835F9E"/>
    <w:rsid w:val="00840984"/>
    <w:rsid w:val="00842223"/>
    <w:rsid w:val="00845898"/>
    <w:rsid w:val="00856850"/>
    <w:rsid w:val="00866146"/>
    <w:rsid w:val="00870010"/>
    <w:rsid w:val="0087653F"/>
    <w:rsid w:val="00882627"/>
    <w:rsid w:val="00882FAB"/>
    <w:rsid w:val="00883078"/>
    <w:rsid w:val="008833D5"/>
    <w:rsid w:val="00883A8B"/>
    <w:rsid w:val="00890E25"/>
    <w:rsid w:val="00895231"/>
    <w:rsid w:val="00896BB2"/>
    <w:rsid w:val="008A4D9E"/>
    <w:rsid w:val="008A50B9"/>
    <w:rsid w:val="008A55C4"/>
    <w:rsid w:val="008A6007"/>
    <w:rsid w:val="008A653B"/>
    <w:rsid w:val="008B1BF4"/>
    <w:rsid w:val="008B43A5"/>
    <w:rsid w:val="008B4939"/>
    <w:rsid w:val="008C4E1E"/>
    <w:rsid w:val="008C610B"/>
    <w:rsid w:val="008C715D"/>
    <w:rsid w:val="008D0FA8"/>
    <w:rsid w:val="008D2F00"/>
    <w:rsid w:val="008D58B1"/>
    <w:rsid w:val="008E025D"/>
    <w:rsid w:val="008E317E"/>
    <w:rsid w:val="008E48A8"/>
    <w:rsid w:val="008F5B0B"/>
    <w:rsid w:val="008F788E"/>
    <w:rsid w:val="009023E1"/>
    <w:rsid w:val="00904D0B"/>
    <w:rsid w:val="009128D4"/>
    <w:rsid w:val="00917073"/>
    <w:rsid w:val="00921B79"/>
    <w:rsid w:val="00921EC3"/>
    <w:rsid w:val="00924765"/>
    <w:rsid w:val="00930A3A"/>
    <w:rsid w:val="00931694"/>
    <w:rsid w:val="0093292D"/>
    <w:rsid w:val="00932D5E"/>
    <w:rsid w:val="009347B3"/>
    <w:rsid w:val="00934E26"/>
    <w:rsid w:val="009350FD"/>
    <w:rsid w:val="00937D34"/>
    <w:rsid w:val="0094647D"/>
    <w:rsid w:val="009604BE"/>
    <w:rsid w:val="009630DD"/>
    <w:rsid w:val="0096435A"/>
    <w:rsid w:val="009648EC"/>
    <w:rsid w:val="009677F4"/>
    <w:rsid w:val="0097544A"/>
    <w:rsid w:val="009758B5"/>
    <w:rsid w:val="00984320"/>
    <w:rsid w:val="009A2367"/>
    <w:rsid w:val="009B1E6C"/>
    <w:rsid w:val="009B576C"/>
    <w:rsid w:val="009B5C5C"/>
    <w:rsid w:val="009B6427"/>
    <w:rsid w:val="009B74FC"/>
    <w:rsid w:val="009C3026"/>
    <w:rsid w:val="009C605A"/>
    <w:rsid w:val="009C7035"/>
    <w:rsid w:val="009D2FF7"/>
    <w:rsid w:val="009D4CF4"/>
    <w:rsid w:val="009D5C61"/>
    <w:rsid w:val="009E1965"/>
    <w:rsid w:val="009E78C9"/>
    <w:rsid w:val="009F2755"/>
    <w:rsid w:val="009F624A"/>
    <w:rsid w:val="00A00F09"/>
    <w:rsid w:val="00A022E2"/>
    <w:rsid w:val="00A04AD6"/>
    <w:rsid w:val="00A06236"/>
    <w:rsid w:val="00A07FBE"/>
    <w:rsid w:val="00A100AA"/>
    <w:rsid w:val="00A17A4F"/>
    <w:rsid w:val="00A22CC0"/>
    <w:rsid w:val="00A23CA6"/>
    <w:rsid w:val="00A24AC5"/>
    <w:rsid w:val="00A34152"/>
    <w:rsid w:val="00A407C9"/>
    <w:rsid w:val="00A40D03"/>
    <w:rsid w:val="00A4316E"/>
    <w:rsid w:val="00A46A9A"/>
    <w:rsid w:val="00A52CFB"/>
    <w:rsid w:val="00A53E2D"/>
    <w:rsid w:val="00A545CE"/>
    <w:rsid w:val="00A62F72"/>
    <w:rsid w:val="00A64E79"/>
    <w:rsid w:val="00A66AE8"/>
    <w:rsid w:val="00A70307"/>
    <w:rsid w:val="00A751FA"/>
    <w:rsid w:val="00A75235"/>
    <w:rsid w:val="00A82E13"/>
    <w:rsid w:val="00A843C9"/>
    <w:rsid w:val="00A957BE"/>
    <w:rsid w:val="00A95E90"/>
    <w:rsid w:val="00A97675"/>
    <w:rsid w:val="00AA282A"/>
    <w:rsid w:val="00AA3257"/>
    <w:rsid w:val="00AA60CC"/>
    <w:rsid w:val="00AB36F6"/>
    <w:rsid w:val="00AC23F7"/>
    <w:rsid w:val="00AC3E31"/>
    <w:rsid w:val="00AD161C"/>
    <w:rsid w:val="00AD4636"/>
    <w:rsid w:val="00AD4856"/>
    <w:rsid w:val="00AF0C75"/>
    <w:rsid w:val="00AF68D5"/>
    <w:rsid w:val="00B2314B"/>
    <w:rsid w:val="00B24B16"/>
    <w:rsid w:val="00B34F0F"/>
    <w:rsid w:val="00B37067"/>
    <w:rsid w:val="00B434E8"/>
    <w:rsid w:val="00B4372E"/>
    <w:rsid w:val="00B446FD"/>
    <w:rsid w:val="00B63D4D"/>
    <w:rsid w:val="00B66893"/>
    <w:rsid w:val="00B70664"/>
    <w:rsid w:val="00B74911"/>
    <w:rsid w:val="00B77868"/>
    <w:rsid w:val="00B90C9B"/>
    <w:rsid w:val="00BA319E"/>
    <w:rsid w:val="00BB2422"/>
    <w:rsid w:val="00BB7B3B"/>
    <w:rsid w:val="00BC1F6D"/>
    <w:rsid w:val="00BC58D1"/>
    <w:rsid w:val="00BC6463"/>
    <w:rsid w:val="00BD59BD"/>
    <w:rsid w:val="00BD6A3A"/>
    <w:rsid w:val="00BE41DC"/>
    <w:rsid w:val="00BE7E80"/>
    <w:rsid w:val="00BF2833"/>
    <w:rsid w:val="00C04A08"/>
    <w:rsid w:val="00C077C7"/>
    <w:rsid w:val="00C14C6A"/>
    <w:rsid w:val="00C15C21"/>
    <w:rsid w:val="00C170E6"/>
    <w:rsid w:val="00C177C4"/>
    <w:rsid w:val="00C20456"/>
    <w:rsid w:val="00C24F49"/>
    <w:rsid w:val="00C25062"/>
    <w:rsid w:val="00C27AF1"/>
    <w:rsid w:val="00C27E84"/>
    <w:rsid w:val="00C33831"/>
    <w:rsid w:val="00C3424E"/>
    <w:rsid w:val="00C40E39"/>
    <w:rsid w:val="00C42DF3"/>
    <w:rsid w:val="00C43D05"/>
    <w:rsid w:val="00C443D2"/>
    <w:rsid w:val="00C53055"/>
    <w:rsid w:val="00C53941"/>
    <w:rsid w:val="00C57D05"/>
    <w:rsid w:val="00C624C4"/>
    <w:rsid w:val="00C63740"/>
    <w:rsid w:val="00C65512"/>
    <w:rsid w:val="00C6613B"/>
    <w:rsid w:val="00C81994"/>
    <w:rsid w:val="00C82110"/>
    <w:rsid w:val="00C8267F"/>
    <w:rsid w:val="00C84E8C"/>
    <w:rsid w:val="00C85F3C"/>
    <w:rsid w:val="00C90EF2"/>
    <w:rsid w:val="00C91BA0"/>
    <w:rsid w:val="00C9616F"/>
    <w:rsid w:val="00CA6013"/>
    <w:rsid w:val="00CB60A7"/>
    <w:rsid w:val="00CC31A2"/>
    <w:rsid w:val="00CC3B02"/>
    <w:rsid w:val="00CC42CD"/>
    <w:rsid w:val="00CC430C"/>
    <w:rsid w:val="00CD6B81"/>
    <w:rsid w:val="00CE01AC"/>
    <w:rsid w:val="00CE11A6"/>
    <w:rsid w:val="00CE3C48"/>
    <w:rsid w:val="00CE5E43"/>
    <w:rsid w:val="00CE7FE0"/>
    <w:rsid w:val="00CF4185"/>
    <w:rsid w:val="00CF4265"/>
    <w:rsid w:val="00CF644E"/>
    <w:rsid w:val="00CF7445"/>
    <w:rsid w:val="00D01B64"/>
    <w:rsid w:val="00D03916"/>
    <w:rsid w:val="00D07062"/>
    <w:rsid w:val="00D10776"/>
    <w:rsid w:val="00D12026"/>
    <w:rsid w:val="00D20641"/>
    <w:rsid w:val="00D20EE8"/>
    <w:rsid w:val="00D30EAF"/>
    <w:rsid w:val="00D40C1A"/>
    <w:rsid w:val="00D431A6"/>
    <w:rsid w:val="00D465BA"/>
    <w:rsid w:val="00D46625"/>
    <w:rsid w:val="00D4692A"/>
    <w:rsid w:val="00D46B19"/>
    <w:rsid w:val="00D47DEC"/>
    <w:rsid w:val="00D50431"/>
    <w:rsid w:val="00D52DBD"/>
    <w:rsid w:val="00D63D50"/>
    <w:rsid w:val="00D65E5A"/>
    <w:rsid w:val="00D71636"/>
    <w:rsid w:val="00D74BA1"/>
    <w:rsid w:val="00D81A4E"/>
    <w:rsid w:val="00D821F1"/>
    <w:rsid w:val="00D82FB4"/>
    <w:rsid w:val="00D83C31"/>
    <w:rsid w:val="00D8742A"/>
    <w:rsid w:val="00D91591"/>
    <w:rsid w:val="00D919D0"/>
    <w:rsid w:val="00DA2035"/>
    <w:rsid w:val="00DB1B95"/>
    <w:rsid w:val="00DB4282"/>
    <w:rsid w:val="00DB63DA"/>
    <w:rsid w:val="00DC535E"/>
    <w:rsid w:val="00DC680C"/>
    <w:rsid w:val="00DC6A10"/>
    <w:rsid w:val="00DD2D1C"/>
    <w:rsid w:val="00DE0DCE"/>
    <w:rsid w:val="00DE0F3E"/>
    <w:rsid w:val="00DE22BD"/>
    <w:rsid w:val="00DE77F7"/>
    <w:rsid w:val="00E0093B"/>
    <w:rsid w:val="00E01D56"/>
    <w:rsid w:val="00E02DD9"/>
    <w:rsid w:val="00E06B43"/>
    <w:rsid w:val="00E10E2B"/>
    <w:rsid w:val="00E12BDB"/>
    <w:rsid w:val="00E13245"/>
    <w:rsid w:val="00E13F14"/>
    <w:rsid w:val="00E202FA"/>
    <w:rsid w:val="00E2373D"/>
    <w:rsid w:val="00E23768"/>
    <w:rsid w:val="00E24933"/>
    <w:rsid w:val="00E24985"/>
    <w:rsid w:val="00E30D79"/>
    <w:rsid w:val="00E3451C"/>
    <w:rsid w:val="00E37E85"/>
    <w:rsid w:val="00E547C6"/>
    <w:rsid w:val="00E5542C"/>
    <w:rsid w:val="00E56718"/>
    <w:rsid w:val="00E57D92"/>
    <w:rsid w:val="00E611E9"/>
    <w:rsid w:val="00E6547E"/>
    <w:rsid w:val="00E65586"/>
    <w:rsid w:val="00E71C2F"/>
    <w:rsid w:val="00E74156"/>
    <w:rsid w:val="00E75563"/>
    <w:rsid w:val="00E8198F"/>
    <w:rsid w:val="00E82018"/>
    <w:rsid w:val="00E966F8"/>
    <w:rsid w:val="00E9740F"/>
    <w:rsid w:val="00EA3A63"/>
    <w:rsid w:val="00EB37CD"/>
    <w:rsid w:val="00EB5AA1"/>
    <w:rsid w:val="00EB75A3"/>
    <w:rsid w:val="00EB764C"/>
    <w:rsid w:val="00EC29C0"/>
    <w:rsid w:val="00EC54D7"/>
    <w:rsid w:val="00ED0113"/>
    <w:rsid w:val="00ED050C"/>
    <w:rsid w:val="00ED4782"/>
    <w:rsid w:val="00EF449A"/>
    <w:rsid w:val="00EF5CC8"/>
    <w:rsid w:val="00F04D2A"/>
    <w:rsid w:val="00F053F1"/>
    <w:rsid w:val="00F1253C"/>
    <w:rsid w:val="00F13AD4"/>
    <w:rsid w:val="00F146C4"/>
    <w:rsid w:val="00F26B6E"/>
    <w:rsid w:val="00F34556"/>
    <w:rsid w:val="00F346A3"/>
    <w:rsid w:val="00F350B1"/>
    <w:rsid w:val="00F3621B"/>
    <w:rsid w:val="00F37808"/>
    <w:rsid w:val="00F41959"/>
    <w:rsid w:val="00F51F3C"/>
    <w:rsid w:val="00F5479A"/>
    <w:rsid w:val="00F57061"/>
    <w:rsid w:val="00F62597"/>
    <w:rsid w:val="00F6352D"/>
    <w:rsid w:val="00F65355"/>
    <w:rsid w:val="00F76939"/>
    <w:rsid w:val="00F829E4"/>
    <w:rsid w:val="00F87E0B"/>
    <w:rsid w:val="00F949DD"/>
    <w:rsid w:val="00FA179D"/>
    <w:rsid w:val="00FA573C"/>
    <w:rsid w:val="00FB6B24"/>
    <w:rsid w:val="00FB732D"/>
    <w:rsid w:val="00FC2130"/>
    <w:rsid w:val="00FC6286"/>
    <w:rsid w:val="00FC7B73"/>
    <w:rsid w:val="00FD06C2"/>
    <w:rsid w:val="00FD1226"/>
    <w:rsid w:val="00FD278F"/>
    <w:rsid w:val="00FE305D"/>
    <w:rsid w:val="00FE350A"/>
    <w:rsid w:val="00FF2C81"/>
    <w:rsid w:val="00FF6440"/>
  </w:rsids>
  <m:mathPr>
    <m:mathFont m:val="Cambria Math"/>
    <m:brkBin m:val="before"/>
    <m:brkBinSub m:val="--"/>
    <m:smallFrac m:val="0"/>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14:docId w14:val="5A3ED8A7"/>
  <w15:chartTrackingRefBased/>
  <w15:docId w15:val="{302CDB3B-5B27-4853-AF13-8B4DDBFFF7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s-AR" w:eastAsia="es-AR"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lang w:val="en-US" w:eastAsia="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headtext">
    <w:name w:val="headtext"/>
    <w:basedOn w:val="Fuentedeprrafopredeter"/>
    <w:rsid w:val="00267069"/>
  </w:style>
  <w:style w:type="paragraph" w:styleId="Textonotapie">
    <w:name w:val="footnote text"/>
    <w:basedOn w:val="Normal"/>
    <w:semiHidden/>
    <w:rsid w:val="00267069"/>
    <w:rPr>
      <w:sz w:val="20"/>
      <w:szCs w:val="20"/>
      <w:lang w:val="es-AR"/>
    </w:rPr>
  </w:style>
  <w:style w:type="character" w:customStyle="1" w:styleId="tahoma9bold1">
    <w:name w:val="tahoma9bold1"/>
    <w:rsid w:val="00267069"/>
    <w:rPr>
      <w:rFonts w:ascii="Tahoma" w:hAnsi="Tahoma" w:cs="Tahoma" w:hint="default"/>
      <w:b/>
      <w:bCs/>
      <w:sz w:val="18"/>
      <w:szCs w:val="18"/>
    </w:rPr>
  </w:style>
  <w:style w:type="paragraph" w:styleId="Textodeglobo">
    <w:name w:val="Balloon Text"/>
    <w:basedOn w:val="Normal"/>
    <w:semiHidden/>
    <w:rsid w:val="000C4088"/>
    <w:rPr>
      <w:rFonts w:ascii="Tahoma" w:hAnsi="Tahoma" w:cs="Tahoma"/>
      <w:sz w:val="16"/>
      <w:szCs w:val="16"/>
    </w:rPr>
  </w:style>
  <w:style w:type="paragraph" w:styleId="Piedepgina">
    <w:name w:val="footer"/>
    <w:basedOn w:val="Normal"/>
    <w:link w:val="PiedepginaCar"/>
    <w:uiPriority w:val="99"/>
    <w:rsid w:val="0065190F"/>
    <w:pPr>
      <w:tabs>
        <w:tab w:val="center" w:pos="4252"/>
        <w:tab w:val="right" w:pos="8504"/>
      </w:tabs>
    </w:pPr>
  </w:style>
  <w:style w:type="character" w:styleId="Nmerodepgina">
    <w:name w:val="page number"/>
    <w:basedOn w:val="Fuentedeprrafopredeter"/>
    <w:rsid w:val="0065190F"/>
  </w:style>
  <w:style w:type="paragraph" w:styleId="Encabezado">
    <w:name w:val="header"/>
    <w:basedOn w:val="Normal"/>
    <w:link w:val="EncabezadoCar"/>
    <w:rsid w:val="00704917"/>
    <w:pPr>
      <w:tabs>
        <w:tab w:val="center" w:pos="4419"/>
        <w:tab w:val="right" w:pos="8838"/>
      </w:tabs>
    </w:pPr>
  </w:style>
  <w:style w:type="character" w:customStyle="1" w:styleId="EncabezadoCar">
    <w:name w:val="Encabezado Car"/>
    <w:link w:val="Encabezado"/>
    <w:rsid w:val="00704917"/>
    <w:rPr>
      <w:sz w:val="24"/>
      <w:szCs w:val="24"/>
      <w:lang w:val="en-US" w:eastAsia="en-US"/>
    </w:rPr>
  </w:style>
  <w:style w:type="character" w:customStyle="1" w:styleId="PiedepginaCar">
    <w:name w:val="Pie de página Car"/>
    <w:link w:val="Piedepgina"/>
    <w:uiPriority w:val="99"/>
    <w:rsid w:val="00704917"/>
    <w:rPr>
      <w:sz w:val="24"/>
      <w:szCs w:val="24"/>
      <w:lang w:val="en-US" w:eastAsia="en-US"/>
    </w:rPr>
  </w:style>
  <w:style w:type="paragraph" w:styleId="Prrafodelista">
    <w:name w:val="List Paragraph"/>
    <w:basedOn w:val="Normal"/>
    <w:uiPriority w:val="34"/>
    <w:qFormat/>
    <w:rsid w:val="00DB63DA"/>
    <w:pPr>
      <w:ind w:left="708"/>
    </w:pPr>
  </w:style>
  <w:style w:type="character" w:styleId="Refdenotaalpie">
    <w:name w:val="footnote reference"/>
    <w:rsid w:val="0097544A"/>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76E322E-7F25-4DA2-949E-C1CE05E2F93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33063</Words>
  <Characters>188465</Characters>
  <Application>Microsoft Office Word</Application>
  <DocSecurity>0</DocSecurity>
  <Lines>1570</Lines>
  <Paragraphs>442</Paragraphs>
  <ScaleCrop>false</ScaleCrop>
  <HeadingPairs>
    <vt:vector size="2" baseType="variant">
      <vt:variant>
        <vt:lpstr>Título</vt:lpstr>
      </vt:variant>
      <vt:variant>
        <vt:i4>1</vt:i4>
      </vt:variant>
    </vt:vector>
  </HeadingPairs>
  <TitlesOfParts>
    <vt:vector size="1" baseType="lpstr">
      <vt:lpstr>LA JURISPRUDENCIA DE LA CORTE SUPREMA EN MATERIA DE DERECHO LABORAL A PARTIR DE SU NUEVA INTEGRACION (2004/10)</vt:lpstr>
    </vt:vector>
  </TitlesOfParts>
  <Company>Poder Judicial de la Nacion</Company>
  <LinksUpToDate>false</LinksUpToDate>
  <CharactersWithSpaces>221086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LA JURISPRUDENCIA DE LA CORTE SUPREMA EN MATERIA DE DERECHO LABORAL A PARTIR DE SU NUEVA INTEGRACION (2004/10)</dc:title>
  <dc:subject/>
  <dc:creator>Owner</dc:creator>
  <cp:keywords/>
  <dc:description/>
  <cp:lastModifiedBy>Usuario</cp:lastModifiedBy>
  <cp:revision>4</cp:revision>
  <cp:lastPrinted>2014-09-10T12:08:00Z</cp:lastPrinted>
  <dcterms:created xsi:type="dcterms:W3CDTF">2026-04-10T14:21:00Z</dcterms:created>
  <dcterms:modified xsi:type="dcterms:W3CDTF">2026-04-10T14:21:00Z</dcterms:modified>
</cp:coreProperties>
</file>