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7FEC" w:rsidRPr="004A1304" w:rsidRDefault="00957FEC" w:rsidP="00957FEC">
      <w:pPr>
        <w:spacing w:line="360" w:lineRule="auto"/>
        <w:rPr>
          <w:rFonts w:ascii="Times New Roman" w:hAnsi="Times New Roman" w:cs="Times New Roman"/>
          <w:b/>
          <w:sz w:val="28"/>
          <w:szCs w:val="28"/>
        </w:rPr>
      </w:pPr>
    </w:p>
    <w:p w:rsidR="00957FEC" w:rsidRDefault="00957FEC" w:rsidP="00957FEC">
      <w:pPr>
        <w:spacing w:line="360" w:lineRule="auto"/>
        <w:jc w:val="center"/>
        <w:rPr>
          <w:rFonts w:ascii="Times New Roman" w:hAnsi="Times New Roman" w:cs="Times New Roman"/>
          <w:b/>
          <w:sz w:val="28"/>
          <w:szCs w:val="28"/>
        </w:rPr>
      </w:pPr>
      <w:r>
        <w:rPr>
          <w:rFonts w:ascii="Times New Roman" w:hAnsi="Times New Roman" w:cs="Times New Roman"/>
          <w:b/>
          <w:sz w:val="28"/>
          <w:szCs w:val="28"/>
        </w:rPr>
        <w:t>LOS SINDICATOS EN LA ENCRUCIJADA  DE LA ÉPOCA HISTÓRICA</w:t>
      </w:r>
      <w:r w:rsidRPr="004A1304">
        <w:rPr>
          <w:rFonts w:ascii="Times New Roman" w:hAnsi="Times New Roman" w:cs="Times New Roman"/>
          <w:b/>
          <w:sz w:val="28"/>
          <w:szCs w:val="28"/>
        </w:rPr>
        <w:t xml:space="preserve"> ACTUAL</w:t>
      </w:r>
    </w:p>
    <w:p w:rsidR="00957FEC" w:rsidRDefault="00957FEC" w:rsidP="00957FEC">
      <w:pPr>
        <w:spacing w:line="360" w:lineRule="auto"/>
        <w:rPr>
          <w:rFonts w:ascii="Times New Roman" w:hAnsi="Times New Roman" w:cs="Times New Roman"/>
          <w:b/>
          <w:sz w:val="28"/>
          <w:szCs w:val="28"/>
        </w:rPr>
      </w:pPr>
    </w:p>
    <w:p w:rsidR="00957FEC" w:rsidRPr="00993293" w:rsidRDefault="00957FEC" w:rsidP="00957FEC">
      <w:pPr>
        <w:spacing w:line="360" w:lineRule="auto"/>
        <w:rPr>
          <w:rFonts w:ascii="Times New Roman" w:hAnsi="Times New Roman" w:cs="Times New Roman"/>
          <w:b/>
        </w:rPr>
      </w:pPr>
      <w:r>
        <w:rPr>
          <w:rFonts w:ascii="Times New Roman" w:hAnsi="Times New Roman" w:cs="Times New Roman"/>
          <w:b/>
        </w:rPr>
        <w:t>En memoria del recordado amigo Rodolfo Cerdas Cruz.</w:t>
      </w:r>
    </w:p>
    <w:p w:rsidR="00957FEC" w:rsidRPr="00546B2F" w:rsidRDefault="00957FEC" w:rsidP="00957FEC">
      <w:pPr>
        <w:spacing w:line="360" w:lineRule="auto"/>
        <w:rPr>
          <w:rFonts w:ascii="Times New Roman" w:hAnsi="Times New Roman" w:cs="Times New Roman"/>
          <w:b/>
          <w:sz w:val="24"/>
          <w:szCs w:val="24"/>
        </w:rPr>
      </w:pPr>
    </w:p>
    <w:p w:rsidR="00957FEC" w:rsidRPr="00546B2F" w:rsidRDefault="00957FEC" w:rsidP="00957FEC">
      <w:pPr>
        <w:pStyle w:val="Prrafodelista"/>
        <w:numPr>
          <w:ilvl w:val="0"/>
          <w:numId w:val="1"/>
        </w:numPr>
        <w:spacing w:line="360" w:lineRule="auto"/>
        <w:rPr>
          <w:rFonts w:ascii="Times New Roman" w:hAnsi="Times New Roman" w:cs="Times New Roman"/>
          <w:b/>
          <w:sz w:val="24"/>
          <w:szCs w:val="24"/>
        </w:rPr>
      </w:pPr>
      <w:r w:rsidRPr="00546B2F">
        <w:rPr>
          <w:rFonts w:ascii="Times New Roman" w:hAnsi="Times New Roman" w:cs="Times New Roman"/>
          <w:b/>
          <w:sz w:val="24"/>
          <w:szCs w:val="24"/>
        </w:rPr>
        <w:t>La nueva época histórica y su repercusión en el movimiento sindical.</w:t>
      </w:r>
    </w:p>
    <w:p w:rsidR="00957FEC" w:rsidRPr="00546B2F" w:rsidRDefault="00957FEC" w:rsidP="00957FEC">
      <w:pPr>
        <w:spacing w:line="360" w:lineRule="auto"/>
        <w:rPr>
          <w:rFonts w:ascii="Times New Roman" w:hAnsi="Times New Roman" w:cs="Times New Roman"/>
          <w:b/>
          <w:sz w:val="24"/>
          <w:szCs w:val="24"/>
        </w:rPr>
      </w:pP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Las organizaciones sindicales como fruto del asociacionismo obrero del siglo XIX en Europa</w:t>
      </w:r>
      <w:r w:rsidRPr="00546B2F">
        <w:rPr>
          <w:rStyle w:val="Refdenotaalpie"/>
          <w:rFonts w:ascii="Times New Roman" w:hAnsi="Times New Roman" w:cs="Times New Roman"/>
          <w:sz w:val="24"/>
          <w:szCs w:val="24"/>
        </w:rPr>
        <w:footnoteReference w:id="1"/>
      </w:r>
      <w:r w:rsidRPr="00546B2F">
        <w:rPr>
          <w:rFonts w:ascii="Times New Roman" w:hAnsi="Times New Roman" w:cs="Times New Roman"/>
          <w:sz w:val="24"/>
          <w:szCs w:val="24"/>
        </w:rPr>
        <w:t xml:space="preserve">, y de la llamada cuestión social, la cual generó importantes cambios sociales en ese continente y más tarde en el resto del mundo, salieron fortalecidas del Tratado de Versalles y de la fundación de la Organización Internacional del Trabajo en el año 1919. </w:t>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También se vieron fortalecidas las organizaciones sindicales con el llamado constitucionalismo social, que en el caso de Latinoamérica llevó a incluir la libertad sindical en prácticamente la mayoría de las constituciones del subcontinente durante el siglo XX. Ello pese al carácter mítico de esta normativa, según lo denomina Ackerman, con lo cual hace referencia a la sobrevaloración de las regulaciones de carácter so</w:t>
      </w:r>
      <w:r>
        <w:rPr>
          <w:rFonts w:ascii="Times New Roman" w:hAnsi="Times New Roman" w:cs="Times New Roman"/>
          <w:sz w:val="24"/>
          <w:szCs w:val="24"/>
        </w:rPr>
        <w:t xml:space="preserve">cial en nuestra región, lo cual no se </w:t>
      </w:r>
      <w:r w:rsidRPr="00546B2F">
        <w:rPr>
          <w:rFonts w:ascii="Times New Roman" w:hAnsi="Times New Roman" w:cs="Times New Roman"/>
          <w:sz w:val="24"/>
          <w:szCs w:val="24"/>
        </w:rPr>
        <w:t xml:space="preserve">corresponde con su grado real de cumplimiento </w:t>
      </w:r>
      <w:r w:rsidRPr="00546B2F">
        <w:rPr>
          <w:rStyle w:val="Refdenotaalpie"/>
          <w:rFonts w:ascii="Times New Roman" w:hAnsi="Times New Roman" w:cs="Times New Roman"/>
          <w:sz w:val="24"/>
          <w:szCs w:val="24"/>
        </w:rPr>
        <w:footnoteReference w:id="2"/>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 xml:space="preserve">El proceso de internacionalización del capital, que se produce en los últimos treinta años del siglo XX y que continúa aceleradamente en el presente siglo, condicionan de manera importante el desarrollo del sindicalismo. La descentralización empresarial, también conocida como tercerización,  la deslocalización de las empresas a nivel mundial, el auge de la subcontratación, la creación de empresas suministradoras de mano de obra, el aumento del </w:t>
      </w:r>
      <w:r w:rsidRPr="00546B2F">
        <w:rPr>
          <w:rFonts w:ascii="Times New Roman" w:hAnsi="Times New Roman" w:cs="Times New Roman"/>
          <w:sz w:val="24"/>
          <w:szCs w:val="24"/>
        </w:rPr>
        <w:lastRenderedPageBreak/>
        <w:t>trabajo parcial y temporal, y finalmente la desocupación estructural</w:t>
      </w:r>
      <w:r w:rsidRPr="00546B2F">
        <w:rPr>
          <w:rStyle w:val="Refdenotaalpie"/>
          <w:rFonts w:ascii="Times New Roman" w:hAnsi="Times New Roman" w:cs="Times New Roman"/>
          <w:sz w:val="24"/>
          <w:szCs w:val="24"/>
        </w:rPr>
        <w:footnoteReference w:id="3"/>
      </w:r>
      <w:r w:rsidRPr="00546B2F">
        <w:rPr>
          <w:rFonts w:ascii="Times New Roman" w:hAnsi="Times New Roman" w:cs="Times New Roman"/>
          <w:sz w:val="24"/>
          <w:szCs w:val="24"/>
        </w:rPr>
        <w:t>, se encuentran entre las caras más visibles de la nueva fenomenología que arrastra el proceso de globalización económica.</w:t>
      </w:r>
      <w:r w:rsidRPr="00546B2F">
        <w:rPr>
          <w:rStyle w:val="Refdenotaalpie"/>
          <w:rFonts w:ascii="Times New Roman" w:hAnsi="Times New Roman" w:cs="Times New Roman"/>
          <w:sz w:val="24"/>
          <w:szCs w:val="24"/>
        </w:rPr>
        <w:footnoteReference w:id="4"/>
      </w:r>
      <w:r w:rsidRPr="00546B2F">
        <w:rPr>
          <w:rFonts w:ascii="Times New Roman" w:hAnsi="Times New Roman" w:cs="Times New Roman"/>
          <w:sz w:val="24"/>
          <w:szCs w:val="24"/>
        </w:rPr>
        <w:t xml:space="preserve"> </w:t>
      </w:r>
    </w:p>
    <w:p w:rsidR="00957FEC"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 xml:space="preserve">Los efectos de los procesos descritos, sin ir más lejos, han desembocado en todo un movimiento de flexibilización de las condiciones laborales, que en palabras del sociólogo y filósofo Zygmunt Bauman, advierten del fin del empleo en la forma en que lo conocemos, presagiando el advenimiento de lo que en muchos países ya es una realidad: </w:t>
      </w:r>
      <w:r w:rsidRPr="00546B2F">
        <w:rPr>
          <w:rFonts w:ascii="Times New Roman" w:hAnsi="Times New Roman" w:cs="Times New Roman"/>
          <w:i/>
          <w:sz w:val="24"/>
          <w:szCs w:val="24"/>
        </w:rPr>
        <w:t xml:space="preserve">“el trabajo regido por contratos breves, renovables o directamente sin contratos, cargos que no ofrecen ninguna seguridad por sí mismos, sino que se rigen por la cláusula de hasta nuevo aviso”, </w:t>
      </w:r>
      <w:r w:rsidRPr="00546B2F">
        <w:rPr>
          <w:rFonts w:ascii="Times New Roman" w:hAnsi="Times New Roman" w:cs="Times New Roman"/>
          <w:sz w:val="24"/>
          <w:szCs w:val="24"/>
        </w:rPr>
        <w:t>todo lo cual, según e</w:t>
      </w:r>
      <w:r>
        <w:rPr>
          <w:rFonts w:ascii="Times New Roman" w:hAnsi="Times New Roman" w:cs="Times New Roman"/>
          <w:sz w:val="24"/>
          <w:szCs w:val="24"/>
        </w:rPr>
        <w:t>l mismo autor, hace que la vida laboral</w:t>
      </w:r>
      <w:r w:rsidRPr="00FD7E6F">
        <w:rPr>
          <w:rFonts w:ascii="Times New Roman" w:hAnsi="Times New Roman" w:cs="Times New Roman"/>
          <w:color w:val="FF0000"/>
          <w:sz w:val="24"/>
          <w:szCs w:val="24"/>
        </w:rPr>
        <w:t xml:space="preserve"> </w:t>
      </w:r>
      <w:r w:rsidRPr="00546B2F">
        <w:rPr>
          <w:rFonts w:ascii="Times New Roman" w:hAnsi="Times New Roman" w:cs="Times New Roman"/>
          <w:sz w:val="24"/>
          <w:szCs w:val="24"/>
        </w:rPr>
        <w:t xml:space="preserve">esté plagada de incertidumbre. </w:t>
      </w:r>
      <w:r w:rsidRPr="00546B2F">
        <w:rPr>
          <w:rStyle w:val="Refdenotaalpie"/>
          <w:rFonts w:ascii="Times New Roman" w:hAnsi="Times New Roman" w:cs="Times New Roman"/>
          <w:sz w:val="24"/>
          <w:szCs w:val="24"/>
        </w:rPr>
        <w:footnoteReference w:id="5"/>
      </w:r>
    </w:p>
    <w:p w:rsidR="00957FEC" w:rsidRPr="00546B2F" w:rsidRDefault="00957FEC" w:rsidP="00957FE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Sin que resulte necesario “ideologizar” el concepto de flexibilización laboral, es lo cierto que en la mayoría de los países capitalistas, tanto países desarrollados como países subdesarrollados, se ha producido con mucha fuerza en los últimos veinte o treinta años, reformas muy importantes al mercado de trabajo, que han afectado la posición socioeconómica de los trabajadores y la capacidad negocial de los sindicatos. Refiriéndose básicamente a los países que forman parte de la O.C.D.E, los autores Judzik y Sala, en </w:t>
      </w:r>
      <w:r>
        <w:rPr>
          <w:rFonts w:ascii="Times New Roman" w:hAnsi="Times New Roman" w:cs="Times New Roman"/>
          <w:sz w:val="24"/>
          <w:szCs w:val="24"/>
        </w:rPr>
        <w:lastRenderedPageBreak/>
        <w:t xml:space="preserve">términos generales, las reformas del mercado de trabajo han seguido dos vías. </w:t>
      </w:r>
      <w:r>
        <w:rPr>
          <w:rFonts w:ascii="Times New Roman" w:hAnsi="Times New Roman" w:cs="Times New Roman"/>
          <w:i/>
          <w:sz w:val="24"/>
          <w:szCs w:val="24"/>
        </w:rPr>
        <w:t>“La primera fue la reducción</w:t>
      </w:r>
      <w:r w:rsidRPr="00FD7E6F">
        <w:rPr>
          <w:rFonts w:ascii="Times New Roman" w:hAnsi="Times New Roman" w:cs="Times New Roman"/>
          <w:i/>
          <w:color w:val="FF0000"/>
          <w:sz w:val="24"/>
          <w:szCs w:val="24"/>
        </w:rPr>
        <w:t xml:space="preserve"> </w:t>
      </w:r>
      <w:r>
        <w:rPr>
          <w:rFonts w:ascii="Times New Roman" w:hAnsi="Times New Roman" w:cs="Times New Roman"/>
          <w:i/>
          <w:sz w:val="24"/>
          <w:szCs w:val="24"/>
        </w:rPr>
        <w:t>de la legislación de protección del empleo y de protección contra el desempleo, con un consiguiente aumento en la rotación al mercado de trabajo; y la segunda consistió en reformas en dos niveles, que propició el uso general del trabajo temporal que también ha generado importantes aumentos en los flujos de empleo. Aunque las consecuencias de esta doble estrategia han sido ampliamente estudiadas en cuanto a la volatilidad que generan en el mercado de trabajo (…) otra consecuencia observada ha sido la pérdida de poder sindical…”</w:t>
      </w:r>
      <w:r>
        <w:rPr>
          <w:rStyle w:val="Refdenotaalpie"/>
          <w:rFonts w:ascii="Times New Roman" w:hAnsi="Times New Roman" w:cs="Times New Roman"/>
          <w:i/>
          <w:sz w:val="24"/>
          <w:szCs w:val="24"/>
        </w:rPr>
        <w:footnoteReference w:id="6"/>
      </w:r>
      <w:r w:rsidRPr="00546B2F">
        <w:rPr>
          <w:rFonts w:ascii="Times New Roman" w:hAnsi="Times New Roman" w:cs="Times New Roman"/>
          <w:sz w:val="24"/>
          <w:szCs w:val="24"/>
        </w:rPr>
        <w:t xml:space="preserve">  </w:t>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 xml:space="preserve">En complemento con lo anterior, las organizaciones sindicales, surgidas alrededor de la clase obrera y del taylorismo industrial, hoy se encuentran subsumidas dentro de una nueva formación social, en la cual la economía de servicios y el capital financiero han desplazado el modelo industrial anterior, como principal empleador y como sector dominante de la sociedad, consiguiendo además debilitar uno de los aliados importantes que tuvo el movimiento sindical durante buena parte del siglo XX, como fueron los Estados nacionales, sobre todo de orientación keynesiana y social demócrata. </w:t>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 xml:space="preserve">La clase obrera que conformó los sindicatos en el siglo XIX y en buena parte del siglo XX ya no existe. No solo eso, sino que el empleo precario ha venido a sustituir los niveles de alto empleo que se dieron en la posguerra de la segunda guerra mundial, y el Estado de Bienestar que tuvo en el Plan Beveridge inglés de 1942 y en el </w:t>
      </w:r>
      <w:r w:rsidRPr="00546B2F">
        <w:rPr>
          <w:rFonts w:ascii="Times New Roman" w:hAnsi="Times New Roman" w:cs="Times New Roman"/>
          <w:i/>
          <w:sz w:val="24"/>
          <w:szCs w:val="24"/>
        </w:rPr>
        <w:t>New Deal</w:t>
      </w:r>
      <w:r w:rsidRPr="00546B2F">
        <w:rPr>
          <w:rFonts w:ascii="Times New Roman" w:hAnsi="Times New Roman" w:cs="Times New Roman"/>
          <w:sz w:val="24"/>
          <w:szCs w:val="24"/>
        </w:rPr>
        <w:t xml:space="preserve"> de las administraciones del Presidente Roosevelt un fuerte impulso, ha perdido su fuelle inicial, ante las crisis fiscales y los manejos del capital financiero de nuestro tiempo. </w:t>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Pero incluso más allá de lo anterior, es posible hablar en este momento de una crisis de identidad de los asalariados de la época histórica</w:t>
      </w:r>
      <w:r w:rsidRPr="00546B2F">
        <w:rPr>
          <w:rStyle w:val="Refdenotaalpie"/>
          <w:rFonts w:ascii="Times New Roman" w:hAnsi="Times New Roman" w:cs="Times New Roman"/>
          <w:sz w:val="24"/>
          <w:szCs w:val="24"/>
        </w:rPr>
        <w:footnoteReference w:id="7"/>
      </w:r>
      <w:r w:rsidRPr="00546B2F">
        <w:rPr>
          <w:rFonts w:ascii="Times New Roman" w:hAnsi="Times New Roman" w:cs="Times New Roman"/>
          <w:sz w:val="24"/>
          <w:szCs w:val="24"/>
        </w:rPr>
        <w:t xml:space="preserve"> que vivimos, producto tanto de situaciones </w:t>
      </w:r>
      <w:r w:rsidRPr="00546B2F">
        <w:rPr>
          <w:rFonts w:ascii="Times New Roman" w:hAnsi="Times New Roman" w:cs="Times New Roman"/>
          <w:sz w:val="24"/>
          <w:szCs w:val="24"/>
        </w:rPr>
        <w:lastRenderedPageBreak/>
        <w:t>ajenas al movimiento de los trabajadores, como por una nueva “psicología social” que se posiciona a nivel social y cultural, en  el seno de los grupos asalariados.  Castells analiza en detalle las situaciones objetivas que explican el nuevo paradigma cuando describe de la siguiente manera el rompimiento de los pactos sociales en el estado de situación actual:</w:t>
      </w:r>
    </w:p>
    <w:p w:rsidR="00957FEC" w:rsidRPr="00546B2F" w:rsidRDefault="00957FEC" w:rsidP="00957FEC">
      <w:pPr>
        <w:spacing w:line="360" w:lineRule="auto"/>
        <w:jc w:val="both"/>
        <w:rPr>
          <w:rFonts w:ascii="Times New Roman" w:hAnsi="Times New Roman" w:cs="Times New Roman"/>
          <w:i/>
          <w:sz w:val="24"/>
          <w:szCs w:val="24"/>
        </w:rPr>
      </w:pPr>
      <w:r w:rsidRPr="00546B2F">
        <w:rPr>
          <w:rFonts w:ascii="Times New Roman" w:hAnsi="Times New Roman" w:cs="Times New Roman"/>
          <w:i/>
          <w:sz w:val="24"/>
          <w:szCs w:val="24"/>
        </w:rPr>
        <w:t xml:space="preserve">“La privatización de los organismos públicos y el declive del estado de bienestar, aunque alivian a las sociedades de algunas cargas burocráticas, empeoran las condiciones de vida para la mayoría de los ciudadanos, rompen el contrato social entre el capital, el trabajo y el estado, y eliminan buena parte de la red de seguridad social, el sostén del gobierno legítimo para el ciudadano de a pie. Desgarrado por la internalización de las finanzas y la producción, incapaz de adaptarse a la interconexión de las empresas y la individualización del trabajo, y cuestionado por la feminización del empleo, el movimiento obrero se desvanece como una fuente importante de cohesión social y representación de los trabajadores. No desaparece, pero se convierte en un agente político integrado en las instituciones públicas”. </w:t>
      </w:r>
      <w:r w:rsidRPr="00546B2F">
        <w:rPr>
          <w:rStyle w:val="Refdenotaalpie"/>
          <w:rFonts w:ascii="Times New Roman" w:hAnsi="Times New Roman" w:cs="Times New Roman"/>
          <w:i/>
          <w:sz w:val="24"/>
          <w:szCs w:val="24"/>
        </w:rPr>
        <w:footnoteReference w:id="8"/>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 xml:space="preserve"> El asunto es que ese rompimiento de lo que Castells denomina “identidades legitimadoras”, quiebra también los intereses compartidos que en el lenguaje marxista se podría denominar “clase para sí”, lo cual determina la erosión continua de la base social que ha servido como fuente aglutinadora de los movimientos clasistas desde el siglo XIX (partidos de clase y sindicatos de clase). Por ello, afirma el mismo autor de cita que </w:t>
      </w:r>
      <w:r w:rsidRPr="00546B2F">
        <w:rPr>
          <w:rFonts w:ascii="Times New Roman" w:hAnsi="Times New Roman" w:cs="Times New Roman"/>
          <w:i/>
          <w:sz w:val="24"/>
          <w:szCs w:val="24"/>
        </w:rPr>
        <w:t xml:space="preserve">la disolución de las identidades compartidas, que equivale a la disolución de la sociedad como sistema social significativo, muy bien pudiera </w:t>
      </w:r>
      <w:r w:rsidRPr="003C7472">
        <w:rPr>
          <w:rFonts w:ascii="Times New Roman" w:hAnsi="Times New Roman" w:cs="Times New Roman"/>
          <w:i/>
          <w:color w:val="FF0000"/>
          <w:sz w:val="24"/>
          <w:szCs w:val="24"/>
        </w:rPr>
        <w:t xml:space="preserve"> </w:t>
      </w:r>
      <w:r>
        <w:rPr>
          <w:rFonts w:ascii="Times New Roman" w:hAnsi="Times New Roman" w:cs="Times New Roman"/>
          <w:i/>
          <w:color w:val="FF0000"/>
          <w:sz w:val="24"/>
          <w:szCs w:val="24"/>
        </w:rPr>
        <w:t xml:space="preserve"> </w:t>
      </w:r>
      <w:r w:rsidRPr="00546B2F">
        <w:rPr>
          <w:rFonts w:ascii="Times New Roman" w:hAnsi="Times New Roman" w:cs="Times New Roman"/>
          <w:i/>
          <w:sz w:val="24"/>
          <w:szCs w:val="24"/>
        </w:rPr>
        <w:t>ser el estado de cosas de nuestro tiempo (…) A primera vista, estamos siendo testigos del surgimiento de un mundo hecho de mercados, redes, individuos y organizaciones estratégicas, aparentemente gobernados por modelos de “expectativas racionales…”.</w:t>
      </w:r>
      <w:r w:rsidRPr="00546B2F">
        <w:rPr>
          <w:rStyle w:val="Refdenotaalpie"/>
          <w:rFonts w:ascii="Times New Roman" w:hAnsi="Times New Roman" w:cs="Times New Roman"/>
          <w:i/>
          <w:sz w:val="24"/>
          <w:szCs w:val="24"/>
        </w:rPr>
        <w:footnoteReference w:id="9"/>
      </w:r>
      <w:r w:rsidRPr="00546B2F">
        <w:rPr>
          <w:rFonts w:ascii="Times New Roman" w:hAnsi="Times New Roman" w:cs="Times New Roman"/>
          <w:i/>
          <w:sz w:val="24"/>
          <w:szCs w:val="24"/>
        </w:rPr>
        <w:t xml:space="preserve">  </w:t>
      </w:r>
      <w:r w:rsidRPr="00546B2F">
        <w:rPr>
          <w:rFonts w:ascii="Times New Roman" w:hAnsi="Times New Roman" w:cs="Times New Roman"/>
          <w:sz w:val="24"/>
          <w:szCs w:val="24"/>
        </w:rPr>
        <w:t xml:space="preserve">En palabras de otro sociólogo cuya huella en el pensamiento </w:t>
      </w:r>
      <w:r w:rsidRPr="00546B2F">
        <w:rPr>
          <w:rFonts w:ascii="Times New Roman" w:hAnsi="Times New Roman" w:cs="Times New Roman"/>
          <w:sz w:val="24"/>
          <w:szCs w:val="24"/>
        </w:rPr>
        <w:lastRenderedPageBreak/>
        <w:t xml:space="preserve">moderno no discute, como es el caso de Zigmunt Bauman, vivimos un tiempo de </w:t>
      </w:r>
      <w:r w:rsidRPr="00546B2F">
        <w:rPr>
          <w:rFonts w:ascii="Times New Roman" w:hAnsi="Times New Roman" w:cs="Times New Roman"/>
          <w:i/>
          <w:sz w:val="24"/>
          <w:szCs w:val="24"/>
        </w:rPr>
        <w:t>“volatilidad de las identidades”, “cuando las creencias, los valores y los estilos han sido “privatizados”, - descontextualizados  o “desarraigados” – y los sitios que se ofrecen para un “rearraigo” se parecen más a un cuarto de motel  que a un hogar permanente (tras haber pagado el crédito hipotecario, las identidades se vuelven frágiles, temporarias y con fecha de vencimiento, despojadas de toda defensa salvo la habilidad y la determinación que puedan tener los agentes para la tarea de mantenerlas íntegras y protegerlas de la erosión”.</w:t>
      </w:r>
      <w:r w:rsidRPr="00546B2F">
        <w:rPr>
          <w:rStyle w:val="Refdenotaalpie"/>
          <w:rFonts w:ascii="Times New Roman" w:hAnsi="Times New Roman" w:cs="Times New Roman"/>
          <w:i/>
          <w:sz w:val="24"/>
          <w:szCs w:val="24"/>
        </w:rPr>
        <w:footnoteReference w:id="10"/>
      </w:r>
      <w:r w:rsidRPr="00546B2F">
        <w:rPr>
          <w:rFonts w:ascii="Times New Roman" w:hAnsi="Times New Roman" w:cs="Times New Roman"/>
          <w:i/>
          <w:sz w:val="24"/>
          <w:szCs w:val="24"/>
        </w:rPr>
        <w:t xml:space="preserve"> </w:t>
      </w:r>
      <w:r w:rsidRPr="00546B2F">
        <w:rPr>
          <w:rFonts w:ascii="Times New Roman" w:hAnsi="Times New Roman" w:cs="Times New Roman"/>
          <w:sz w:val="24"/>
          <w:szCs w:val="24"/>
        </w:rPr>
        <w:t>De esta forma, la sociedad líquida de que nos habla Bauman o la época histórica –como preferimos denominarla nosotros- se caracteriza por un profundo individualismo que condiciona conducta y acciones.</w:t>
      </w:r>
      <w:r w:rsidRPr="00546B2F">
        <w:rPr>
          <w:rStyle w:val="Refdenotaalpie"/>
          <w:rFonts w:ascii="Times New Roman" w:hAnsi="Times New Roman" w:cs="Times New Roman"/>
          <w:sz w:val="24"/>
          <w:szCs w:val="24"/>
        </w:rPr>
        <w:footnoteReference w:id="11"/>
      </w:r>
    </w:p>
    <w:p w:rsidR="00957FEC" w:rsidRPr="00546B2F" w:rsidRDefault="00957FEC" w:rsidP="00957FEC">
      <w:pPr>
        <w:spacing w:line="360" w:lineRule="auto"/>
        <w:jc w:val="both"/>
        <w:rPr>
          <w:rFonts w:ascii="Times New Roman" w:hAnsi="Times New Roman" w:cs="Times New Roman"/>
          <w:sz w:val="24"/>
          <w:szCs w:val="24"/>
        </w:rPr>
      </w:pPr>
      <w:r>
        <w:rPr>
          <w:rFonts w:ascii="Times New Roman" w:hAnsi="Times New Roman" w:cs="Times New Roman"/>
          <w:sz w:val="24"/>
          <w:szCs w:val="24"/>
        </w:rPr>
        <w:t>Todo el cuadro anterior</w:t>
      </w:r>
      <w:r w:rsidRPr="003C7472">
        <w:rPr>
          <w:rFonts w:ascii="Times New Roman" w:hAnsi="Times New Roman" w:cs="Times New Roman"/>
          <w:color w:val="FF0000"/>
          <w:sz w:val="24"/>
          <w:szCs w:val="24"/>
        </w:rPr>
        <w:t xml:space="preserve"> </w:t>
      </w:r>
      <w:r w:rsidRPr="00546B2F">
        <w:rPr>
          <w:rFonts w:ascii="Times New Roman" w:hAnsi="Times New Roman" w:cs="Times New Roman"/>
          <w:sz w:val="24"/>
          <w:szCs w:val="24"/>
        </w:rPr>
        <w:t xml:space="preserve">tiene relación, sin duda, con lo que otros autores, como Vargas Avila, han denominado la pérdida de importancia del mundo del trabajo en la conformación de identidades y subjetividades, </w:t>
      </w:r>
      <w:r w:rsidRPr="00546B2F">
        <w:rPr>
          <w:rFonts w:ascii="Times New Roman" w:hAnsi="Times New Roman" w:cs="Times New Roman"/>
          <w:i/>
          <w:sz w:val="24"/>
          <w:szCs w:val="24"/>
        </w:rPr>
        <w:t>“lo cual anula la capacidad transformadora de los trabajadores”</w:t>
      </w:r>
      <w:r w:rsidRPr="00546B2F">
        <w:rPr>
          <w:rFonts w:ascii="Times New Roman" w:hAnsi="Times New Roman" w:cs="Times New Roman"/>
          <w:sz w:val="24"/>
          <w:szCs w:val="24"/>
        </w:rPr>
        <w:t xml:space="preserve">. </w:t>
      </w:r>
      <w:r w:rsidRPr="00546B2F">
        <w:rPr>
          <w:rStyle w:val="Refdenotaalpie"/>
          <w:rFonts w:ascii="Times New Roman" w:hAnsi="Times New Roman" w:cs="Times New Roman"/>
          <w:sz w:val="24"/>
          <w:szCs w:val="24"/>
        </w:rPr>
        <w:footnoteReference w:id="12"/>
      </w:r>
      <w:r w:rsidRPr="00546B2F">
        <w:rPr>
          <w:rFonts w:ascii="Times New Roman" w:hAnsi="Times New Roman" w:cs="Times New Roman"/>
          <w:sz w:val="24"/>
          <w:szCs w:val="24"/>
        </w:rPr>
        <w:t xml:space="preserve"> En efecto, si por un lado la pequeña empresa fragmentada, fruto de los procesos de tercerización y el grueso contingente de trabajadores que laboran a tiempo parcial, a tiempo determinado o simplemente forman parte del nuevo ejército de reserva que son los desocupados estructurales, no producen un buen escenario de acogida para el sindicato tradicional, las nuevas identidades culturales de la sociedad actual, fundadas en el individualismo y el aislamiento personal, tampoco son proclives a la organización de intereses colectivos. El ser humano posmoderno crea </w:t>
      </w:r>
      <w:r w:rsidRPr="00B66E30">
        <w:rPr>
          <w:rFonts w:ascii="Times New Roman" w:hAnsi="Times New Roman" w:cs="Times New Roman"/>
          <w:sz w:val="24"/>
          <w:szCs w:val="24"/>
        </w:rPr>
        <w:t>pues</w:t>
      </w:r>
      <w:r w:rsidRPr="00546B2F">
        <w:rPr>
          <w:rFonts w:ascii="Times New Roman" w:hAnsi="Times New Roman" w:cs="Times New Roman"/>
          <w:sz w:val="24"/>
          <w:szCs w:val="24"/>
        </w:rPr>
        <w:t xml:space="preserve"> nuevas </w:t>
      </w:r>
      <w:r w:rsidRPr="00546B2F">
        <w:rPr>
          <w:rFonts w:ascii="Times New Roman" w:hAnsi="Times New Roman" w:cs="Times New Roman"/>
          <w:i/>
          <w:sz w:val="24"/>
          <w:szCs w:val="24"/>
        </w:rPr>
        <w:t xml:space="preserve">identidades defensivas </w:t>
      </w:r>
      <w:r w:rsidRPr="00546B2F">
        <w:rPr>
          <w:rFonts w:ascii="Times New Roman" w:hAnsi="Times New Roman" w:cs="Times New Roman"/>
          <w:sz w:val="24"/>
          <w:szCs w:val="24"/>
        </w:rPr>
        <w:t xml:space="preserve">que se apartan del concepto decimonónico de la solidaridad humana, en el que se cimentaron asociaciones como los sindicatos, lo cual explica – no totalmente pero en buena parte- el </w:t>
      </w:r>
      <w:r w:rsidRPr="00546B2F">
        <w:rPr>
          <w:rFonts w:ascii="Times New Roman" w:hAnsi="Times New Roman" w:cs="Times New Roman"/>
          <w:sz w:val="24"/>
          <w:szCs w:val="24"/>
        </w:rPr>
        <w:lastRenderedPageBreak/>
        <w:t>debilitamiento generalizado del movimiento sindical como forma de contrapoder de los trabajadores dentro de las empresas.</w:t>
      </w:r>
      <w:r w:rsidRPr="00546B2F">
        <w:rPr>
          <w:rStyle w:val="Refdenotaalpie"/>
          <w:rFonts w:ascii="Times New Roman" w:hAnsi="Times New Roman" w:cs="Times New Roman"/>
          <w:sz w:val="24"/>
          <w:szCs w:val="24"/>
        </w:rPr>
        <w:footnoteReference w:id="13"/>
      </w:r>
      <w:r w:rsidRPr="00546B2F">
        <w:rPr>
          <w:rFonts w:ascii="Times New Roman" w:hAnsi="Times New Roman" w:cs="Times New Roman"/>
          <w:sz w:val="24"/>
          <w:szCs w:val="24"/>
        </w:rPr>
        <w:t xml:space="preserve"> </w:t>
      </w:r>
    </w:p>
    <w:p w:rsidR="00957FEC" w:rsidRPr="00546B2F" w:rsidRDefault="00957FEC" w:rsidP="00957FEC">
      <w:pPr>
        <w:spacing w:line="360" w:lineRule="auto"/>
        <w:jc w:val="both"/>
        <w:rPr>
          <w:rFonts w:ascii="Times New Roman" w:hAnsi="Times New Roman" w:cs="Times New Roman"/>
          <w:i/>
          <w:sz w:val="24"/>
          <w:szCs w:val="24"/>
        </w:rPr>
      </w:pPr>
      <w:r w:rsidRPr="00546B2F">
        <w:rPr>
          <w:rFonts w:ascii="Times New Roman" w:hAnsi="Times New Roman" w:cs="Times New Roman"/>
          <w:sz w:val="24"/>
          <w:szCs w:val="24"/>
        </w:rPr>
        <w:t xml:space="preserve">Sin duda, la mayor fractura que afecta al movimiento sindical actual, en su base de reclutamiento y en su identidad colectiva, es la que se produce con los trabajadores desocupados. El paro o lo que es lo mismo, la desocupación, establece una forma de relación patológica, si así puede llamarse, entre grupos de personas. Así, para el autor Daniel Cohen, el paro </w:t>
      </w:r>
      <w:r w:rsidRPr="00546B2F">
        <w:rPr>
          <w:rFonts w:ascii="Times New Roman" w:hAnsi="Times New Roman" w:cs="Times New Roman"/>
          <w:i/>
          <w:sz w:val="24"/>
          <w:szCs w:val="24"/>
        </w:rPr>
        <w:t>“es el resultado de la relación entre los que quieren trabajar, la población activa, y el porcentaje de la misma que el sistema podrá absorber. Dicho de otro modo, el paro es ante todo una relación social entre los que tienen un trabajo y quienes no lo tienen. No es una diferencia determinada por la técnica</w:t>
      </w:r>
      <w:r w:rsidRPr="00546B2F">
        <w:rPr>
          <w:rFonts w:ascii="Times New Roman" w:hAnsi="Times New Roman" w:cs="Times New Roman"/>
          <w:sz w:val="24"/>
          <w:szCs w:val="24"/>
        </w:rPr>
        <w:t>”.</w:t>
      </w:r>
      <w:r w:rsidRPr="00546B2F">
        <w:rPr>
          <w:rStyle w:val="Refdenotaalpie"/>
          <w:rFonts w:ascii="Times New Roman" w:hAnsi="Times New Roman" w:cs="Times New Roman"/>
          <w:sz w:val="24"/>
          <w:szCs w:val="24"/>
        </w:rPr>
        <w:footnoteReference w:id="14"/>
      </w:r>
      <w:r w:rsidRPr="00546B2F">
        <w:rPr>
          <w:rFonts w:ascii="Times New Roman" w:hAnsi="Times New Roman" w:cs="Times New Roman"/>
          <w:i/>
          <w:sz w:val="24"/>
          <w:szCs w:val="24"/>
        </w:rPr>
        <w:t xml:space="preserve"> </w:t>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Lo peor de todo, según Cohen, es que las instituciones actuales no están hechos para los parados</w:t>
      </w:r>
      <w:r w:rsidRPr="00546B2F">
        <w:rPr>
          <w:rStyle w:val="Refdenotaalpie"/>
          <w:rFonts w:ascii="Times New Roman" w:hAnsi="Times New Roman" w:cs="Times New Roman"/>
          <w:sz w:val="24"/>
          <w:szCs w:val="24"/>
        </w:rPr>
        <w:footnoteReference w:id="15"/>
      </w:r>
      <w:r w:rsidRPr="00546B2F">
        <w:rPr>
          <w:rFonts w:ascii="Times New Roman" w:hAnsi="Times New Roman" w:cs="Times New Roman"/>
          <w:sz w:val="24"/>
          <w:szCs w:val="24"/>
        </w:rPr>
        <w:t xml:space="preserve">, lo cual nos permite preguntarnos válidamente, si las organizaciones sindicales, en su función por antonomasia, </w:t>
      </w:r>
      <w:r w:rsidRPr="00B66E30">
        <w:rPr>
          <w:rFonts w:ascii="Times New Roman" w:hAnsi="Times New Roman" w:cs="Times New Roman"/>
          <w:sz w:val="24"/>
          <w:szCs w:val="24"/>
        </w:rPr>
        <w:t>cual</w:t>
      </w:r>
      <w:r w:rsidRPr="00546B2F">
        <w:rPr>
          <w:rFonts w:ascii="Times New Roman" w:hAnsi="Times New Roman" w:cs="Times New Roman"/>
          <w:sz w:val="24"/>
          <w:szCs w:val="24"/>
        </w:rPr>
        <w:t xml:space="preserve"> es la defensa de los trabajadores asalariados, no será también una de esas instituciones que ya no se adaptan a la realidad social actual. </w:t>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 xml:space="preserve">Pero la contradicción entre trabajadores empleados y trabajadores sin empleo no es la única que cuestiona el modelo clásico sindical que pretendía en lo fundamental obtener reivindicaciones económicas y sociales para los trabajadores asalariados, normalmente insertos en una relación de tiempo indeterminado. Hay otra contradicción cuyos efectos prácticos son devastadores, y me refiero con ello a que mientras las empresas se internacionalizan, se ramifican y se tercerizan, las organizaciones sindicales siguen teniendo básicamente –con la salvedad de las experiencias asociativas a nivel mundial, cuyo ámbito de posibilidades es relativamente limitado-, una implantación nacional y normalmente por </w:t>
      </w:r>
      <w:r w:rsidRPr="00546B2F">
        <w:rPr>
          <w:rFonts w:ascii="Times New Roman" w:hAnsi="Times New Roman" w:cs="Times New Roman"/>
          <w:sz w:val="24"/>
          <w:szCs w:val="24"/>
        </w:rPr>
        <w:lastRenderedPageBreak/>
        <w:t xml:space="preserve">empresas o instituciones, sobre todo en países donde el movimiento sindical es débil y la legislación nacional alimenta un tipo de organización sindical fragmentado por empresas. </w:t>
      </w:r>
      <w:r w:rsidRPr="00546B2F">
        <w:rPr>
          <w:rStyle w:val="Refdenotaalpie"/>
          <w:rFonts w:ascii="Times New Roman" w:hAnsi="Times New Roman" w:cs="Times New Roman"/>
          <w:sz w:val="24"/>
          <w:szCs w:val="24"/>
        </w:rPr>
        <w:footnoteReference w:id="16"/>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De esta forma, mientras las empresas multinacionales y las empresas subcontratadas o franquiciadas a nivel nacional, se encuentran en capacidad de desarrollar estrategias de administración de personal de manera transversal, desde el ámbito externo al interno, los sindicatos se mantienen combatiendo desde niveles mucho más reducidos, afectando su visión de conjunto, y por supuesto sus armas de lucha.</w:t>
      </w:r>
      <w:r w:rsidRPr="00546B2F">
        <w:rPr>
          <w:rStyle w:val="Refdenotaalpie"/>
          <w:rFonts w:ascii="Times New Roman" w:hAnsi="Times New Roman" w:cs="Times New Roman"/>
          <w:sz w:val="24"/>
          <w:szCs w:val="24"/>
        </w:rPr>
        <w:footnoteReference w:id="17"/>
      </w:r>
      <w:r w:rsidRPr="00546B2F">
        <w:rPr>
          <w:rFonts w:ascii="Times New Roman" w:hAnsi="Times New Roman" w:cs="Times New Roman"/>
          <w:sz w:val="24"/>
          <w:szCs w:val="24"/>
        </w:rPr>
        <w:t xml:space="preserve"> </w:t>
      </w:r>
    </w:p>
    <w:p w:rsidR="00957FEC" w:rsidRPr="00546B2F" w:rsidRDefault="00957FEC" w:rsidP="00957FEC">
      <w:pPr>
        <w:spacing w:line="360" w:lineRule="auto"/>
        <w:jc w:val="both"/>
        <w:rPr>
          <w:rFonts w:ascii="Times New Roman" w:hAnsi="Times New Roman" w:cs="Times New Roman"/>
          <w:sz w:val="24"/>
          <w:szCs w:val="24"/>
        </w:rPr>
      </w:pPr>
    </w:p>
    <w:p w:rsidR="00957FEC" w:rsidRPr="00546B2F" w:rsidRDefault="00957FEC" w:rsidP="00957FEC">
      <w:pPr>
        <w:pStyle w:val="Prrafodelista"/>
        <w:numPr>
          <w:ilvl w:val="0"/>
          <w:numId w:val="1"/>
        </w:numPr>
        <w:spacing w:line="360" w:lineRule="auto"/>
        <w:jc w:val="both"/>
        <w:rPr>
          <w:rFonts w:ascii="Times New Roman" w:hAnsi="Times New Roman" w:cs="Times New Roman"/>
          <w:b/>
          <w:sz w:val="24"/>
          <w:szCs w:val="24"/>
        </w:rPr>
      </w:pPr>
      <w:r w:rsidRPr="00546B2F">
        <w:rPr>
          <w:rFonts w:ascii="Times New Roman" w:hAnsi="Times New Roman" w:cs="Times New Roman"/>
          <w:b/>
          <w:sz w:val="24"/>
          <w:szCs w:val="24"/>
        </w:rPr>
        <w:t>La representación institucional de intereses como principal activo del movimiento sindical.</w:t>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 xml:space="preserve">De acuerdo con el llamado Informe Supiot, </w:t>
      </w:r>
      <w:r w:rsidRPr="00546B2F">
        <w:rPr>
          <w:rStyle w:val="Refdenotaalpie"/>
          <w:rFonts w:ascii="Times New Roman" w:hAnsi="Times New Roman" w:cs="Times New Roman"/>
          <w:sz w:val="24"/>
          <w:szCs w:val="24"/>
        </w:rPr>
        <w:footnoteReference w:id="18"/>
      </w:r>
      <w:r w:rsidRPr="00546B2F">
        <w:rPr>
          <w:rFonts w:ascii="Times New Roman" w:hAnsi="Times New Roman" w:cs="Times New Roman"/>
          <w:sz w:val="24"/>
          <w:szCs w:val="24"/>
        </w:rPr>
        <w:t xml:space="preserve"> el modelo clásico de la legislación laboral puede ser visto como un triángulo formado por tres cuerpos: la empresa, el sindicato y el Estado. Por su parte, la legislación laboral y de protección social está basada en la oposición entre trabajo subordinado y trabajo por cuenta propia, y el Estado deviene en un Estado “concertatif”, que establece mecanismos de negociación sociales.</w:t>
      </w:r>
      <w:r w:rsidRPr="00546B2F">
        <w:rPr>
          <w:rStyle w:val="Refdenotaalpie"/>
          <w:rFonts w:ascii="Times New Roman" w:hAnsi="Times New Roman" w:cs="Times New Roman"/>
          <w:sz w:val="24"/>
          <w:szCs w:val="24"/>
        </w:rPr>
        <w:footnoteReference w:id="19"/>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 xml:space="preserve">Ese modelo, va a producir y mantiene hasta la fecha, cada vez como menor grado de garantismo, un importante grado de seguridad socio-económica y jurídica para los trabajadores asalariados, situación que se han mantenido en buena parte gracias a la </w:t>
      </w:r>
      <w:r w:rsidRPr="00546B2F">
        <w:rPr>
          <w:rFonts w:ascii="Times New Roman" w:hAnsi="Times New Roman" w:cs="Times New Roman"/>
          <w:sz w:val="24"/>
          <w:szCs w:val="24"/>
        </w:rPr>
        <w:lastRenderedPageBreak/>
        <w:t>constitucionalización de derechos colectivos de trabajo fundamentales, como son el derecho de asociación sindical, el derecho de huelga y el derecho de negociación colectiva.</w:t>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El modelo clásico de que nos habla el Informe Supiot ha otorgado a los sindicatos - sin perjuicio de la existencia de modelos de representación dual, con participación de comités de empresa y otras formas de asambleísmo en la empresa, en algunos países</w:t>
      </w:r>
      <w:r>
        <w:rPr>
          <w:rFonts w:ascii="Times New Roman" w:hAnsi="Times New Roman" w:cs="Times New Roman"/>
          <w:sz w:val="24"/>
          <w:szCs w:val="24"/>
        </w:rPr>
        <w:t>-,</w:t>
      </w:r>
      <w:r w:rsidRPr="00546B2F">
        <w:rPr>
          <w:rFonts w:ascii="Times New Roman" w:hAnsi="Times New Roman" w:cs="Times New Roman"/>
          <w:sz w:val="24"/>
          <w:szCs w:val="24"/>
        </w:rPr>
        <w:t xml:space="preserve"> un papel central en la representación de intereses profesionales. Lo importante acá es reconocer que las organizaciones sindicales lograron, a lo largo de la historia, en palabras de los autores Monereo Pérez, Molina Navarrete y Moreno Viva, primero organizar y luego “personificar” el interés colectivo profesional de los trabajadores, constituyéndose en los entes sociales titulares de tales intereses, por antonomasia. Este proceso, es el que desemboca, según los mismos autores, en lo que denomina </w:t>
      </w:r>
      <w:r w:rsidRPr="00546B2F">
        <w:rPr>
          <w:rFonts w:ascii="Times New Roman" w:hAnsi="Times New Roman" w:cs="Times New Roman"/>
          <w:i/>
          <w:sz w:val="24"/>
          <w:szCs w:val="24"/>
        </w:rPr>
        <w:t>“un nuevo sujeto socio-político del Derecho: los sindicatos…”.</w:t>
      </w:r>
      <w:r w:rsidRPr="00546B2F">
        <w:rPr>
          <w:rStyle w:val="Refdenotaalpie"/>
          <w:rFonts w:ascii="Times New Roman" w:hAnsi="Times New Roman" w:cs="Times New Roman"/>
          <w:i/>
          <w:sz w:val="24"/>
          <w:szCs w:val="24"/>
        </w:rPr>
        <w:footnoteReference w:id="20"/>
      </w:r>
      <w:r w:rsidRPr="00546B2F">
        <w:rPr>
          <w:rFonts w:ascii="Times New Roman" w:hAnsi="Times New Roman" w:cs="Times New Roman"/>
          <w:sz w:val="24"/>
          <w:szCs w:val="24"/>
        </w:rPr>
        <w:t xml:space="preserve"> </w:t>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Resulta importante plantearse cómo, si bien los sindicatos lograron personificar el interés colectivo de los trabajadores que requerían organizarse frente a sus empleadores, tales organizaciones no han estado solas en ese afán representativo, ya fuere por la existencia de otras formas de organización gremial en la empresa,</w:t>
      </w:r>
      <w:r w:rsidRPr="00546B2F">
        <w:rPr>
          <w:rStyle w:val="Refdenotaalpie"/>
          <w:rFonts w:ascii="Times New Roman" w:hAnsi="Times New Roman" w:cs="Times New Roman"/>
          <w:sz w:val="24"/>
          <w:szCs w:val="24"/>
        </w:rPr>
        <w:footnoteReference w:id="21"/>
      </w:r>
      <w:r w:rsidRPr="00546B2F">
        <w:rPr>
          <w:rFonts w:ascii="Times New Roman" w:hAnsi="Times New Roman" w:cs="Times New Roman"/>
          <w:sz w:val="24"/>
          <w:szCs w:val="24"/>
        </w:rPr>
        <w:t xml:space="preserve"> o  mediante la presencia de otros colectivos profesionales organizados, tal el caso  de corporaciones profesionales de derecho público, verbigracia los colegios profesionales, o de asociaciones civiles de trabajadores dependientes, caso típico, este último  de trabajadores del sector público de algunos países de América Latina.</w:t>
      </w:r>
      <w:r w:rsidRPr="00546B2F">
        <w:rPr>
          <w:rStyle w:val="Refdenotaalpie"/>
          <w:rFonts w:ascii="Times New Roman" w:hAnsi="Times New Roman" w:cs="Times New Roman"/>
          <w:sz w:val="24"/>
          <w:szCs w:val="24"/>
        </w:rPr>
        <w:footnoteReference w:id="22"/>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 xml:space="preserve">Conforme con lo anterior, los sindicatos en el derecho comparado no han gozado siempre de un monopolio de la representación de los trabajadores, ni siquiera en materia de negociación colectiva, </w:t>
      </w:r>
      <w:r>
        <w:rPr>
          <w:rFonts w:ascii="Times New Roman" w:hAnsi="Times New Roman" w:cs="Times New Roman"/>
          <w:sz w:val="24"/>
          <w:szCs w:val="24"/>
        </w:rPr>
        <w:t>aunque es lo cierto también que han</w:t>
      </w:r>
      <w:r w:rsidRPr="00B463A5">
        <w:rPr>
          <w:rFonts w:ascii="Times New Roman" w:hAnsi="Times New Roman" w:cs="Times New Roman"/>
          <w:color w:val="FF0000"/>
          <w:sz w:val="24"/>
          <w:szCs w:val="24"/>
        </w:rPr>
        <w:t xml:space="preserve"> </w:t>
      </w:r>
      <w:r w:rsidRPr="00546B2F">
        <w:rPr>
          <w:rFonts w:ascii="Times New Roman" w:hAnsi="Times New Roman" w:cs="Times New Roman"/>
          <w:sz w:val="24"/>
          <w:szCs w:val="24"/>
        </w:rPr>
        <w:t xml:space="preserve">sido esas organizaciones las que han servido </w:t>
      </w:r>
      <w:r w:rsidRPr="00546B2F">
        <w:rPr>
          <w:rFonts w:ascii="Times New Roman" w:hAnsi="Times New Roman" w:cs="Times New Roman"/>
          <w:sz w:val="24"/>
          <w:szCs w:val="24"/>
        </w:rPr>
        <w:lastRenderedPageBreak/>
        <w:t xml:space="preserve">de arquetipo o paradigma de lo que suele llamarse “representación institucional”. </w:t>
      </w:r>
      <w:r w:rsidRPr="00546B2F">
        <w:rPr>
          <w:rStyle w:val="Refdenotaalpie"/>
          <w:rFonts w:ascii="Times New Roman" w:hAnsi="Times New Roman" w:cs="Times New Roman"/>
          <w:sz w:val="24"/>
          <w:szCs w:val="24"/>
        </w:rPr>
        <w:footnoteReference w:id="23"/>
      </w:r>
      <w:r w:rsidRPr="00546B2F">
        <w:rPr>
          <w:rFonts w:ascii="Times New Roman" w:hAnsi="Times New Roman" w:cs="Times New Roman"/>
          <w:sz w:val="24"/>
          <w:szCs w:val="24"/>
        </w:rPr>
        <w:t xml:space="preserve"> Ello por </w:t>
      </w:r>
      <w:r w:rsidRPr="00B66E30">
        <w:rPr>
          <w:rFonts w:ascii="Times New Roman" w:hAnsi="Times New Roman" w:cs="Times New Roman"/>
          <w:sz w:val="24"/>
          <w:szCs w:val="24"/>
        </w:rPr>
        <w:t>cuanto tanto</w:t>
      </w:r>
      <w:r w:rsidRPr="00B463A5">
        <w:rPr>
          <w:rFonts w:ascii="Times New Roman" w:hAnsi="Times New Roman" w:cs="Times New Roman"/>
          <w:color w:val="FF0000"/>
          <w:sz w:val="24"/>
          <w:szCs w:val="24"/>
        </w:rPr>
        <w:t xml:space="preserve"> </w:t>
      </w:r>
      <w:r w:rsidRPr="00546B2F">
        <w:rPr>
          <w:rFonts w:ascii="Times New Roman" w:hAnsi="Times New Roman" w:cs="Times New Roman"/>
          <w:sz w:val="24"/>
          <w:szCs w:val="24"/>
        </w:rPr>
        <w:t>en el modelo sindical de la Organización Internacional del Trabajo, como también en el diseño constitucional que se dio en el siglo XX, con la constitucionalización de los derechos colectivos laborales, la libertad sindical se ha vinculado siempre con el derecho de huelga y con el derecho de negociación colectiva.</w:t>
      </w:r>
      <w:r w:rsidRPr="00546B2F">
        <w:rPr>
          <w:rStyle w:val="Refdenotaalpie"/>
          <w:rFonts w:ascii="Times New Roman" w:hAnsi="Times New Roman" w:cs="Times New Roman"/>
          <w:sz w:val="24"/>
          <w:szCs w:val="24"/>
        </w:rPr>
        <w:footnoteReference w:id="24"/>
      </w:r>
    </w:p>
    <w:p w:rsidR="00957FEC" w:rsidRPr="00546B2F" w:rsidRDefault="00957FEC" w:rsidP="00957FEC">
      <w:pPr>
        <w:spacing w:line="360" w:lineRule="auto"/>
        <w:jc w:val="both"/>
        <w:rPr>
          <w:rFonts w:ascii="Times New Roman" w:hAnsi="Times New Roman" w:cs="Times New Roman"/>
          <w:i/>
          <w:sz w:val="24"/>
          <w:szCs w:val="24"/>
        </w:rPr>
      </w:pPr>
      <w:r w:rsidRPr="00546B2F">
        <w:rPr>
          <w:rFonts w:ascii="Times New Roman" w:hAnsi="Times New Roman" w:cs="Times New Roman"/>
          <w:sz w:val="24"/>
          <w:szCs w:val="24"/>
        </w:rPr>
        <w:t xml:space="preserve">  Dejando a un lado la experiencia de las corporaciones de base asociativa, cuyo origen y organización corresponde más bien al derecho público, lo que la experiencia del derecho comparado nos permite entender es que entre las asociaciones civiles, no sindicales y las organizaciones sindicales existen diferencias importantes que no pueden perderse de vista. Aparte de que el derecho de asociación, como libertad individual de todos los habitantes de un Estado soberano pertenece a aquellos conocidos como derechos fundamentales de la primera generación, y dicen de la oposición entre individuo y Estado; el derecho de asociación sindical pertenece a los derechos de la segunda generación, derechos de naturaleza social, que se encuadran dentro de la oposición de intereses entre distintos grupos de la sociedad civil. Por ello, afirman los autores Monereo Pérez, Molina Navarrete y Moreno Vida que </w:t>
      </w:r>
      <w:r w:rsidRPr="00546B2F">
        <w:rPr>
          <w:rFonts w:ascii="Times New Roman" w:hAnsi="Times New Roman" w:cs="Times New Roman"/>
          <w:i/>
          <w:sz w:val="24"/>
          <w:szCs w:val="24"/>
        </w:rPr>
        <w:t>“La catalogación del sindicato como una formación social “de base asociativa”, no puede ir en detrimento de su particularidad como forma de organización de intereses socio-profesionales específicas y diferenciada-dimensión institucional no pública-.</w:t>
      </w:r>
      <w:r>
        <w:rPr>
          <w:rFonts w:ascii="Times New Roman" w:hAnsi="Times New Roman" w:cs="Times New Roman"/>
          <w:i/>
          <w:sz w:val="24"/>
          <w:szCs w:val="24"/>
        </w:rPr>
        <w:t xml:space="preserve"> </w:t>
      </w:r>
      <w:r w:rsidRPr="00546B2F">
        <w:rPr>
          <w:rFonts w:ascii="Times New Roman" w:hAnsi="Times New Roman" w:cs="Times New Roman"/>
          <w:i/>
          <w:sz w:val="24"/>
          <w:szCs w:val="24"/>
        </w:rPr>
        <w:t xml:space="preserve">El sindicato encuentra en la técnica de las “asociaciones privadas representantes de sus afiliados” un trabajo muy estrecho. El propio TC los configura jurídicamente como “instituciones esenciales” del Sistema por su relevancia constitucional (STCo. 18/1984), que hace difusa la diferencia entre “privado y público”. La genérica función de representación </w:t>
      </w:r>
      <w:r w:rsidRPr="00546B2F">
        <w:rPr>
          <w:rFonts w:ascii="Times New Roman" w:hAnsi="Times New Roman" w:cs="Times New Roman"/>
          <w:i/>
          <w:sz w:val="24"/>
          <w:szCs w:val="24"/>
        </w:rPr>
        <w:lastRenderedPageBreak/>
        <w:t xml:space="preserve">sindical no descansa ya solo en el vínculo de afiliación, propio de la técnica asociativa, sino también y sobre todo en la propia naturaleza sindical del grupo”(STCo. 101/1996), esto es, en el ejercicio del interés colectivo profesional defendido, ostentando una representación constitucional implícita”. </w:t>
      </w:r>
      <w:r w:rsidRPr="00546B2F">
        <w:rPr>
          <w:rStyle w:val="Refdenotaalpie"/>
          <w:rFonts w:ascii="Times New Roman" w:hAnsi="Times New Roman" w:cs="Times New Roman"/>
          <w:i/>
          <w:sz w:val="24"/>
          <w:szCs w:val="24"/>
        </w:rPr>
        <w:footnoteReference w:id="25"/>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Para entender esta dimensión institucional de la representación sindical a que se refiere la doctrina, es preciso que nos detengamos un momento a pensar en el origen de la misma y en cómo se separa esta forma de representación de la que es típica del derecho civil o derecho común. Para ello, habrá que recordar que si bien la acción sindical tiene en su origen un carácter netamente clasicista autónomo, no sujeto a reglas ni a encuadres jurídicos, lo cierto es que como ha dicho la doctrina acertadamente, el fenómeno sindical es anterior a su reconocimiento por parte del Estado.</w:t>
      </w:r>
      <w:r w:rsidRPr="00546B2F">
        <w:rPr>
          <w:rStyle w:val="Refdenotaalpie"/>
          <w:rFonts w:ascii="Times New Roman" w:hAnsi="Times New Roman" w:cs="Times New Roman"/>
          <w:sz w:val="24"/>
          <w:szCs w:val="24"/>
        </w:rPr>
        <w:footnoteReference w:id="26"/>
      </w:r>
      <w:r w:rsidRPr="00546B2F">
        <w:rPr>
          <w:rFonts w:ascii="Times New Roman" w:hAnsi="Times New Roman" w:cs="Times New Roman"/>
          <w:sz w:val="24"/>
          <w:szCs w:val="24"/>
        </w:rPr>
        <w:t xml:space="preserve"> En efecto, ese encuentro entre la acción sindical y el papel del Estado moderno, ha significado un proceso de elevación del fenómeno social a categorías jurídicas vertidas en términos de derechos, y lo más importante aún, de derechos constitucionalizados, por tanto convertidos en derechos fundamentales. </w:t>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 xml:space="preserve">En su evolución histórica, las organizaciones sindicales en tanto asociaciones voluntarias y privadas, portadoras de meros intereses privados, en conflicto con los intereses igualmente privados de los empleadores y de sus organizaciones, fundamentaron su actividad negocial únicamente en la autonomía de la voluntad, como cualquier otro sujeto de derecho privado. Esta etapa evolutiva coincide con la concepción del convenio colectivo como contrato privado y la huelga como expresión del uso de una libertad no sujeta a límite alguno. </w:t>
      </w:r>
    </w:p>
    <w:p w:rsidR="00957FEC" w:rsidRPr="00546B2F" w:rsidRDefault="00957FEC" w:rsidP="00957FEC">
      <w:pPr>
        <w:spacing w:line="360" w:lineRule="auto"/>
        <w:jc w:val="both"/>
        <w:rPr>
          <w:rFonts w:ascii="Times New Roman" w:hAnsi="Times New Roman" w:cs="Times New Roman"/>
          <w:i/>
          <w:sz w:val="24"/>
          <w:szCs w:val="24"/>
        </w:rPr>
      </w:pPr>
      <w:r w:rsidRPr="00546B2F">
        <w:rPr>
          <w:rFonts w:ascii="Times New Roman" w:hAnsi="Times New Roman" w:cs="Times New Roman"/>
          <w:sz w:val="24"/>
          <w:szCs w:val="24"/>
        </w:rPr>
        <w:t xml:space="preserve">Pues bien, en el tanto el Estado social de Derecho, con gran impulso de la social democracia europea, asimila el fenómeno sindical y lo institucionaliza, finalmente constitucionalizándolo, el panorama anterior se modifica, de modo que las organizaciones sindicales pasan a ser organizaciones portadoras también de un interés público (y no solamente privado), confiriéndole el ordenamiento jurídico a los sindicatos una representación institucional, distinta de la que es típica del derecho privado. En palabras de Giovanni Tarello, la primera tendencia en el período de construcción del “nuevo derecho del  trabajo”, </w:t>
      </w:r>
      <w:r w:rsidRPr="00546B2F">
        <w:rPr>
          <w:rFonts w:ascii="Times New Roman" w:hAnsi="Times New Roman" w:cs="Times New Roman"/>
          <w:i/>
          <w:sz w:val="24"/>
          <w:szCs w:val="24"/>
        </w:rPr>
        <w:t xml:space="preserve">“se expresa en la configuración del sindicato como sujeto de derecho privado, </w:t>
      </w:r>
      <w:r w:rsidRPr="00546B2F">
        <w:rPr>
          <w:rFonts w:ascii="Times New Roman" w:hAnsi="Times New Roman" w:cs="Times New Roman"/>
          <w:i/>
          <w:sz w:val="24"/>
          <w:szCs w:val="24"/>
        </w:rPr>
        <w:lastRenderedPageBreak/>
        <w:t xml:space="preserve">portador de un interés colectivo que es un interés privado, en conflicto con otros intereses colectivos; sujeto que tiene a perseguir su propio interés colectivo, superando los conflictos, con la creación de derechos colectivos o individuales mediante la actividad de negociación en el desarrollo de su autonomía privada”. </w:t>
      </w:r>
      <w:r w:rsidRPr="00546B2F">
        <w:rPr>
          <w:rFonts w:ascii="Times New Roman" w:hAnsi="Times New Roman" w:cs="Times New Roman"/>
          <w:sz w:val="24"/>
          <w:szCs w:val="24"/>
        </w:rPr>
        <w:t xml:space="preserve">Pero entonces, como contrapunto – indica el mismo autor- </w:t>
      </w:r>
      <w:r w:rsidRPr="00546B2F">
        <w:rPr>
          <w:rFonts w:ascii="Times New Roman" w:hAnsi="Times New Roman" w:cs="Times New Roman"/>
          <w:i/>
          <w:sz w:val="24"/>
          <w:szCs w:val="24"/>
        </w:rPr>
        <w:t>“se perfilan tendencias doctrinales en contraposición con ésta, sostenidas principalmente por los estudiosos del derecho público y especialmente del derecho constitucional, que configuran al sindicato como institución constitucional portadora de intereses por su propia naturaleza públicos”.</w:t>
      </w:r>
      <w:r w:rsidRPr="00546B2F">
        <w:rPr>
          <w:rStyle w:val="Refdenotaalpie"/>
          <w:rFonts w:ascii="Times New Roman" w:hAnsi="Times New Roman" w:cs="Times New Roman"/>
          <w:i/>
          <w:sz w:val="24"/>
          <w:szCs w:val="24"/>
        </w:rPr>
        <w:footnoteReference w:id="27"/>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 xml:space="preserve">La concepción del sindicato como organización exclusivamente privada, está ligada, al menos en la doctrina italiana, a la idea que limita el interés del sindicato a un mero interés de categoría, restringiendo sus posibilidades de actuación a lo que podríamos denominar una esfera economicista y contractualista. En esta concepción, la contratación colectiva pasa a denominarse contrato normativo, distante de una concepción más moderna en la que los sindicatos resultan capaces de la elaboración de verdaderas normas colectivas. </w:t>
      </w:r>
      <w:r w:rsidRPr="00546B2F">
        <w:rPr>
          <w:rStyle w:val="Refdenotaalpie"/>
          <w:rFonts w:ascii="Times New Roman" w:hAnsi="Times New Roman" w:cs="Times New Roman"/>
          <w:sz w:val="24"/>
          <w:szCs w:val="24"/>
        </w:rPr>
        <w:footnoteReference w:id="28"/>
      </w:r>
      <w:r w:rsidRPr="00546B2F">
        <w:rPr>
          <w:rFonts w:ascii="Times New Roman" w:hAnsi="Times New Roman" w:cs="Times New Roman"/>
          <w:sz w:val="24"/>
          <w:szCs w:val="24"/>
        </w:rPr>
        <w:t xml:space="preserve"> </w:t>
      </w:r>
    </w:p>
    <w:p w:rsidR="00957FEC" w:rsidRPr="00546B2F" w:rsidRDefault="00957FEC" w:rsidP="00957FEC">
      <w:pPr>
        <w:spacing w:line="360" w:lineRule="auto"/>
        <w:jc w:val="both"/>
        <w:rPr>
          <w:rFonts w:ascii="Times New Roman" w:hAnsi="Times New Roman" w:cs="Times New Roman"/>
          <w:i/>
          <w:sz w:val="24"/>
          <w:szCs w:val="24"/>
        </w:rPr>
      </w:pPr>
      <w:r w:rsidRPr="00546B2F">
        <w:rPr>
          <w:rFonts w:ascii="Times New Roman" w:hAnsi="Times New Roman" w:cs="Times New Roman"/>
          <w:sz w:val="24"/>
          <w:szCs w:val="24"/>
        </w:rPr>
        <w:t xml:space="preserve">Se habla entonces de una </w:t>
      </w:r>
      <w:r w:rsidRPr="00546B2F">
        <w:rPr>
          <w:rFonts w:ascii="Times New Roman" w:hAnsi="Times New Roman" w:cs="Times New Roman"/>
          <w:i/>
          <w:sz w:val="24"/>
          <w:szCs w:val="24"/>
        </w:rPr>
        <w:t>“dimensión o papel institucional del sindicato, frente a la imagen tradicional y “clasicista” del sindicato como instrumento de defensa de intereses laborales y/o profesionales de los trabajadores. En coherencia con la propia evolución experimentada por el sindicalismo en los países más desarrollados, la doctrina en materia sindical de la OIT, terminará reconociendo el papel del sindicato, más allá de su forma jurídica asociativa característica del derecho privado, en cuanto factor de democracia”.</w:t>
      </w:r>
      <w:r w:rsidRPr="00546B2F">
        <w:rPr>
          <w:rStyle w:val="Refdenotaalpie"/>
          <w:rFonts w:ascii="Times New Roman" w:hAnsi="Times New Roman" w:cs="Times New Roman"/>
          <w:i/>
          <w:sz w:val="24"/>
          <w:szCs w:val="24"/>
        </w:rPr>
        <w:footnoteReference w:id="29"/>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 xml:space="preserve">Al constitucionalizarse los derechos colectivos de trabajo, sobre todo los de asociación sindical, huelga y negociación colectiva </w:t>
      </w:r>
      <w:r w:rsidRPr="00546B2F">
        <w:rPr>
          <w:rStyle w:val="Refdenotaalpie"/>
          <w:rFonts w:ascii="Times New Roman" w:hAnsi="Times New Roman" w:cs="Times New Roman"/>
          <w:sz w:val="24"/>
          <w:szCs w:val="24"/>
        </w:rPr>
        <w:footnoteReference w:id="30"/>
      </w:r>
      <w:r w:rsidRPr="00546B2F">
        <w:rPr>
          <w:rFonts w:ascii="Times New Roman" w:hAnsi="Times New Roman" w:cs="Times New Roman"/>
          <w:sz w:val="24"/>
          <w:szCs w:val="24"/>
        </w:rPr>
        <w:t xml:space="preserve"> no solo se consagra el tríptico de la libertad sindical, donde dicha libertad presupone la exigencia de que las organizaciones sindicales puedan también hacer uso del derecho de huelga y del derecho de negociación colectiva, sino </w:t>
      </w:r>
      <w:r w:rsidRPr="00B66E30">
        <w:rPr>
          <w:rFonts w:ascii="Times New Roman" w:hAnsi="Times New Roman" w:cs="Times New Roman"/>
          <w:sz w:val="24"/>
          <w:szCs w:val="24"/>
        </w:rPr>
        <w:lastRenderedPageBreak/>
        <w:t xml:space="preserve">que todos estos derechos pasan a ser verdaderos </w:t>
      </w:r>
      <w:r>
        <w:rPr>
          <w:rFonts w:ascii="Times New Roman" w:hAnsi="Times New Roman" w:cs="Times New Roman"/>
          <w:sz w:val="24"/>
          <w:szCs w:val="24"/>
        </w:rPr>
        <w:t xml:space="preserve">derechos </w:t>
      </w:r>
      <w:r w:rsidRPr="00B66E30">
        <w:rPr>
          <w:rFonts w:ascii="Times New Roman" w:hAnsi="Times New Roman" w:cs="Times New Roman"/>
          <w:sz w:val="24"/>
          <w:szCs w:val="24"/>
        </w:rPr>
        <w:t>públicos subjetivos</w:t>
      </w:r>
      <w:r w:rsidRPr="00546B2F">
        <w:rPr>
          <w:rFonts w:ascii="Times New Roman" w:hAnsi="Times New Roman" w:cs="Times New Roman"/>
          <w:sz w:val="24"/>
          <w:szCs w:val="24"/>
        </w:rPr>
        <w:t>.</w:t>
      </w:r>
      <w:r w:rsidRPr="00546B2F">
        <w:rPr>
          <w:rStyle w:val="Refdenotaalpie"/>
          <w:rFonts w:ascii="Times New Roman" w:hAnsi="Times New Roman" w:cs="Times New Roman"/>
          <w:sz w:val="24"/>
          <w:szCs w:val="24"/>
        </w:rPr>
        <w:footnoteReference w:id="31"/>
      </w:r>
      <w:r w:rsidRPr="00546B2F">
        <w:rPr>
          <w:rFonts w:ascii="Times New Roman" w:hAnsi="Times New Roman" w:cs="Times New Roman"/>
          <w:sz w:val="24"/>
          <w:szCs w:val="24"/>
        </w:rPr>
        <w:t xml:space="preserve"> En cuanto tales, los derechos de asociación sindical, de huelga y de negociación colectiva, no solo deben ser observados por el Estado, sino protegidos de manera tutelar. Pero además, ello implica que en su desarrollo fenomenológico, estos derechos pueden ser modulados por el legislador y por el órgano encargado del control de constitucionalidad, para armonizarlo con la aplicación de otros derechos constitucionales. </w:t>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Aunque no todas las Constituciones modernas reconocen por separado el derecho a la negociación colectiva, respecto de la libertad sindical, es lo cierto que como lo demuestra la jurisprudencia que aquí se cita del Tribunal Constitucional Español y de la que también se hace eco la jurisprudencia de otros países, como en el caso del Tribunal Constitucional de Costa Rica</w:t>
      </w:r>
      <w:r w:rsidRPr="00546B2F">
        <w:rPr>
          <w:rStyle w:val="Refdenotaalpie"/>
          <w:rFonts w:ascii="Times New Roman" w:hAnsi="Times New Roman" w:cs="Times New Roman"/>
          <w:sz w:val="24"/>
          <w:szCs w:val="24"/>
        </w:rPr>
        <w:footnoteReference w:id="32"/>
      </w:r>
      <w:r w:rsidRPr="00546B2F">
        <w:rPr>
          <w:rFonts w:ascii="Times New Roman" w:hAnsi="Times New Roman" w:cs="Times New Roman"/>
          <w:sz w:val="24"/>
          <w:szCs w:val="24"/>
        </w:rPr>
        <w:t xml:space="preserve">, el derecho comparado reconoce una inescindibilidad de estos derechos, a los efectos de tutelar la libertad sindical. </w:t>
      </w:r>
      <w:r w:rsidRPr="00546B2F">
        <w:rPr>
          <w:rStyle w:val="Refdenotaalpie"/>
          <w:rFonts w:ascii="Times New Roman" w:hAnsi="Times New Roman" w:cs="Times New Roman"/>
          <w:sz w:val="24"/>
          <w:szCs w:val="24"/>
        </w:rPr>
        <w:footnoteReference w:id="33"/>
      </w:r>
      <w:r w:rsidRPr="00546B2F">
        <w:rPr>
          <w:rFonts w:ascii="Times New Roman" w:hAnsi="Times New Roman" w:cs="Times New Roman"/>
          <w:sz w:val="24"/>
          <w:szCs w:val="24"/>
        </w:rPr>
        <w:t xml:space="preserve"> </w:t>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lastRenderedPageBreak/>
        <w:t>El reconocimiento de la negociación colectiva como derecho fundamental</w:t>
      </w:r>
      <w:r w:rsidRPr="00546B2F">
        <w:rPr>
          <w:rStyle w:val="Refdenotaalpie"/>
          <w:rFonts w:ascii="Times New Roman" w:hAnsi="Times New Roman" w:cs="Times New Roman"/>
          <w:sz w:val="24"/>
          <w:szCs w:val="24"/>
        </w:rPr>
        <w:footnoteReference w:id="34"/>
      </w:r>
      <w:r w:rsidRPr="00546B2F">
        <w:rPr>
          <w:rFonts w:ascii="Times New Roman" w:hAnsi="Times New Roman" w:cs="Times New Roman"/>
          <w:sz w:val="24"/>
          <w:szCs w:val="24"/>
        </w:rPr>
        <w:t xml:space="preserve">, en cuanto derecho incluido en la mayoría de las constituciones modernas o en los convenios internacionales de la OIT, como los convenios 98, 151 y 154, así como en la Carta Social Europea, y particularmente en la Declaración de la OIT relativa a los principios y derechos fundamentales del trabajo, del año 1998, nos recuerda una de las conquistas más importantes del movimiento sindical: el convenio colectivo de alcance general. </w:t>
      </w:r>
      <w:r w:rsidRPr="00546B2F">
        <w:rPr>
          <w:rStyle w:val="Refdenotaalpie"/>
          <w:rFonts w:ascii="Times New Roman" w:hAnsi="Times New Roman" w:cs="Times New Roman"/>
          <w:sz w:val="24"/>
          <w:szCs w:val="24"/>
        </w:rPr>
        <w:footnoteReference w:id="35"/>
      </w:r>
    </w:p>
    <w:p w:rsidR="00957FEC" w:rsidRPr="00546B2F" w:rsidRDefault="00957FEC" w:rsidP="00957FEC">
      <w:pPr>
        <w:spacing w:line="360" w:lineRule="auto"/>
        <w:jc w:val="both"/>
        <w:rPr>
          <w:rFonts w:ascii="Times New Roman" w:hAnsi="Times New Roman" w:cs="Times New Roman"/>
          <w:i/>
          <w:sz w:val="24"/>
          <w:szCs w:val="24"/>
        </w:rPr>
      </w:pPr>
      <w:r w:rsidRPr="00546B2F">
        <w:rPr>
          <w:rFonts w:ascii="Times New Roman" w:hAnsi="Times New Roman" w:cs="Times New Roman"/>
          <w:sz w:val="24"/>
          <w:szCs w:val="24"/>
        </w:rPr>
        <w:t xml:space="preserve">Es en la posibilidad de </w:t>
      </w:r>
      <w:r w:rsidRPr="00B66E30">
        <w:rPr>
          <w:rFonts w:ascii="Times New Roman" w:hAnsi="Times New Roman" w:cs="Times New Roman"/>
          <w:sz w:val="24"/>
          <w:szCs w:val="24"/>
        </w:rPr>
        <w:t>negociación de convenios</w:t>
      </w:r>
      <w:r w:rsidRPr="007A18C2">
        <w:rPr>
          <w:rFonts w:ascii="Times New Roman" w:hAnsi="Times New Roman" w:cs="Times New Roman"/>
          <w:color w:val="FF0000"/>
          <w:sz w:val="24"/>
          <w:szCs w:val="24"/>
        </w:rPr>
        <w:t xml:space="preserve"> </w:t>
      </w:r>
      <w:r w:rsidRPr="00546B2F">
        <w:rPr>
          <w:rFonts w:ascii="Times New Roman" w:hAnsi="Times New Roman" w:cs="Times New Roman"/>
          <w:sz w:val="24"/>
          <w:szCs w:val="24"/>
        </w:rPr>
        <w:t xml:space="preserve">(pactos o contratos colectivos) de alcance general, donde realmente podemos, a juicio nuestro, entender mejor eso que la doctrina y la jurisprudencia ha denominado la dimensión institucional del sindicato, aunque es lo cierto que esa capacidad de representación de intereses generales que la Constitución y el Derecho Laboral en general le otorgan a los sindicatos, no se restringe únicamente a la negociación de convenios colectivos. Así, en su sentencia 37 de 11 de mayo de 1983, refiriéndose a este tema aclaró el Tribunal Constitucional Español que ese Tribunal </w:t>
      </w:r>
      <w:r w:rsidRPr="00546B2F">
        <w:rPr>
          <w:rFonts w:ascii="Times New Roman" w:hAnsi="Times New Roman" w:cs="Times New Roman"/>
          <w:i/>
          <w:sz w:val="24"/>
          <w:szCs w:val="24"/>
        </w:rPr>
        <w:t>“ha declarado ya que la función de los sindicatos no consiste únicamente en representar a sus miembros a través de esquemas de apoderamiento y de la representación del derecho privado, sino que, cuando la Constitución y la Ley les invisten con la función de defender los intereses de los trabajadores, les legitiman para ejercer aquellos derechos que, aun perteneciendo en puridad a cada uno de los trabajadores uti singulis, sean de necesario ejercicio colectivo, pues tal legitimación enlaza directamente con la Constitución…”</w:t>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 xml:space="preserve">En el caso concreto de las negociaciones colectivas con alcance general, como es sabido, es la propia Constitución Política, o en su caso los convenios 87 y 98, y normalmente la ley ordinaria también, los que reconocen a los representantes de los trabajadores y de los empresarios, un poder de regulación afectado a una finalidad concreta, como es la suscripción de convenios colectivos, cuya eficacia jurídica alcanza no solo a los trabajadores de las </w:t>
      </w:r>
      <w:r w:rsidRPr="00546B2F">
        <w:rPr>
          <w:rFonts w:ascii="Times New Roman" w:hAnsi="Times New Roman" w:cs="Times New Roman"/>
          <w:sz w:val="24"/>
          <w:szCs w:val="24"/>
        </w:rPr>
        <w:lastRenderedPageBreak/>
        <w:t xml:space="preserve">organizaciones que suscriben el instrumento, sino a todos los trabajadores del ámbito subjetivo cubierto por el convenio, tanto actuales como futuros, durante el tiempo en que esté vigente el mismo. </w:t>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 xml:space="preserve">Este tipo de representación, que permite establecer regulaciones de carácter general, con efectos similares a una ley material – aunque no se trate de una ley en sentido formal -, distingue claramente la representación propia del derecho privado, de alcances limitados a las partes que suscriben el contrato de mandato o cualquier otro contrato del que se desprenda la representación, para trascender esa figura y otorgar una representación más amplia, ni siquiera sujeta a la adhesión al sindicato. En tal sentido, ha afirmado con acierto el Tribunal Constitucional Español, que estamos ante una representación de intereses y no simplemente de voluntades. </w:t>
      </w:r>
      <w:r w:rsidRPr="00546B2F">
        <w:rPr>
          <w:rStyle w:val="Refdenotaalpie"/>
          <w:rFonts w:ascii="Times New Roman" w:hAnsi="Times New Roman" w:cs="Times New Roman"/>
          <w:sz w:val="24"/>
          <w:szCs w:val="24"/>
        </w:rPr>
        <w:footnoteReference w:id="36"/>
      </w:r>
    </w:p>
    <w:p w:rsidR="00957FEC" w:rsidRDefault="00957FEC" w:rsidP="00957FEC">
      <w:pPr>
        <w:spacing w:line="360" w:lineRule="auto"/>
        <w:jc w:val="both"/>
        <w:rPr>
          <w:rFonts w:ascii="Times New Roman" w:hAnsi="Times New Roman" w:cs="Times New Roman"/>
          <w:b/>
          <w:sz w:val="24"/>
          <w:szCs w:val="24"/>
        </w:rPr>
      </w:pPr>
      <w:r w:rsidRPr="00546B2F">
        <w:rPr>
          <w:rFonts w:ascii="Times New Roman" w:hAnsi="Times New Roman" w:cs="Times New Roman"/>
          <w:sz w:val="24"/>
          <w:szCs w:val="24"/>
        </w:rPr>
        <w:t>Consecuentemente con lo anterior, el convenio de eficacia general que se suscribe por parte de los sindicatos, de acuerdo con el modelo que imponen los convenios núms. 87 y 98 de la OIT, no es propiamente un contrato, en el sentido del derecho civil clásico, sino un instrumento de mayor alcance, provisto a los fines de un ordenamiento jurídico que confiere a trabajadores y empleadores un poder de regulación público</w:t>
      </w:r>
      <w:r w:rsidRPr="00546B2F">
        <w:rPr>
          <w:rFonts w:ascii="Times New Roman" w:hAnsi="Times New Roman" w:cs="Times New Roman"/>
          <w:b/>
          <w:sz w:val="24"/>
          <w:szCs w:val="24"/>
        </w:rPr>
        <w:t>.</w:t>
      </w:r>
    </w:p>
    <w:p w:rsidR="00957FEC" w:rsidRPr="009E73BF" w:rsidRDefault="00957FEC" w:rsidP="00957FE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hecho de que los sindicatos puedan hacer uso de la figura de los convenios de alcance general, pudiera plantear a los sindicatos, desde otro punto de vista, un problema estratégico. Nos referimos al hecho de que si los convenios alcanzan a la totalidad de los trabajadores y no solamente a los afiliados sindicales, ello puede convertirse, como de hecho sucede, en un efectivo que desincentiva la afiliación. Un ejemplo de ello es el caso español, donde en el año 2013 la negociación colectiva alcanzó a un 80% de los trabajadores asalariados, mientras que la tasa de afiliación sindical en ese momento era del 16.7%. </w:t>
      </w:r>
      <w:r>
        <w:rPr>
          <w:rStyle w:val="Refdenotaalpie"/>
          <w:rFonts w:ascii="Times New Roman" w:hAnsi="Times New Roman" w:cs="Times New Roman"/>
          <w:sz w:val="24"/>
          <w:szCs w:val="24"/>
        </w:rPr>
        <w:footnoteReference w:id="37"/>
      </w:r>
      <w:r>
        <w:rPr>
          <w:rFonts w:ascii="Times New Roman" w:hAnsi="Times New Roman" w:cs="Times New Roman"/>
          <w:sz w:val="24"/>
          <w:szCs w:val="24"/>
        </w:rPr>
        <w:t xml:space="preserve"> Los sindicatos nunca han </w:t>
      </w:r>
      <w:r>
        <w:rPr>
          <w:rFonts w:ascii="Times New Roman" w:hAnsi="Times New Roman" w:cs="Times New Roman"/>
          <w:sz w:val="24"/>
          <w:szCs w:val="24"/>
        </w:rPr>
        <w:lastRenderedPageBreak/>
        <w:t xml:space="preserve">creído, históricamente, que modificar la regla de la aplicación general, para que los convenios beneficien solamente a los afiliados sea una solución a sus problemas de afiliación, aunque sí se ha pensado en la posibilidad de hacer copartícipes a los trabajadores no afiliados de los gastos en que se incurre durante la negociación colectiva. </w:t>
      </w:r>
      <w:r>
        <w:rPr>
          <w:rStyle w:val="Refdenotaalpie"/>
          <w:rFonts w:ascii="Times New Roman" w:hAnsi="Times New Roman" w:cs="Times New Roman"/>
          <w:sz w:val="24"/>
          <w:szCs w:val="24"/>
        </w:rPr>
        <w:footnoteReference w:id="38"/>
      </w:r>
    </w:p>
    <w:p w:rsidR="00957FEC" w:rsidRPr="00546B2F" w:rsidRDefault="00957FEC" w:rsidP="00957FEC">
      <w:pPr>
        <w:spacing w:line="360" w:lineRule="auto"/>
        <w:jc w:val="both"/>
        <w:rPr>
          <w:rFonts w:ascii="Times New Roman" w:hAnsi="Times New Roman" w:cs="Times New Roman"/>
          <w:b/>
          <w:sz w:val="24"/>
          <w:szCs w:val="24"/>
        </w:rPr>
      </w:pPr>
      <w:r w:rsidRPr="00546B2F">
        <w:rPr>
          <w:rFonts w:ascii="Times New Roman" w:hAnsi="Times New Roman" w:cs="Times New Roman"/>
          <w:b/>
          <w:sz w:val="24"/>
          <w:szCs w:val="24"/>
        </w:rPr>
        <w:t>Capacidad y legitimación negocial de los empleadores.</w:t>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Si bien este trabajo versa sobre la figura del sindicato y a su ubicación histórica actual, no podemos dejar de mencionar el error en que se caería de considerar que la negociación colectiva es un derecho exclusivo de las organizaciones sindicales de trabajadores. Tal como se perfilan los ordenamientos modernos, el derecho a la negociación colectiva es también un derecho de los empleadores y de sus organizaciones, visto desde su capacidad general para gozar de una esfera de autonomía negocial en conjunto con los sindicatos, como también desde su legitimación concreta para negociar alguno de los géneros de negociación que brinda cada uno de esos ordenamientos (convenios colectivos, contratos colectivos, pactos colectivos, arreglos directos, acuerdos conciliatorios, etc.), de acuerdo a las condiciones jurídicamente determinadas en cada caso.</w:t>
      </w:r>
      <w:r w:rsidRPr="00546B2F">
        <w:rPr>
          <w:rStyle w:val="Refdenotaalpie"/>
          <w:rFonts w:ascii="Times New Roman" w:hAnsi="Times New Roman" w:cs="Times New Roman"/>
          <w:sz w:val="24"/>
          <w:szCs w:val="24"/>
        </w:rPr>
        <w:footnoteReference w:id="39"/>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 xml:space="preserve">En este sentido, el poder normativo que el Estado confiere a las organizaciones sindicales de trabajadores para negociar convenios de alcance general, corresponde también a los empleadores y sus organizaciones, a quienes en este sentido se confiere también un poder de regulación público, que trasciende la esfera de la contratación privada. Esta capacidad negocial suele encontrarse inscrita en las mismas Constituciones Políticas, donde se señala que corresponde a trabajadores y empleadores, y a sus organizaciones, la potestad de negociar </w:t>
      </w:r>
      <w:r w:rsidRPr="00546B2F">
        <w:rPr>
          <w:rFonts w:ascii="Times New Roman" w:hAnsi="Times New Roman" w:cs="Times New Roman"/>
          <w:sz w:val="24"/>
          <w:szCs w:val="24"/>
        </w:rPr>
        <w:lastRenderedPageBreak/>
        <w:t xml:space="preserve">colectivamente, sin distinción alguna entre las facultades de unos y otros, lo cual dice de una dinámica de interacción dinámica de participación y  reciprocidad. </w:t>
      </w:r>
      <w:r w:rsidRPr="00546B2F">
        <w:rPr>
          <w:rStyle w:val="Refdenotaalpie"/>
          <w:rFonts w:ascii="Times New Roman" w:hAnsi="Times New Roman" w:cs="Times New Roman"/>
          <w:sz w:val="24"/>
          <w:szCs w:val="24"/>
        </w:rPr>
        <w:footnoteReference w:id="40"/>
      </w:r>
      <w:r w:rsidRPr="00546B2F">
        <w:rPr>
          <w:rFonts w:ascii="Times New Roman" w:hAnsi="Times New Roman" w:cs="Times New Roman"/>
          <w:sz w:val="24"/>
          <w:szCs w:val="24"/>
        </w:rPr>
        <w:t xml:space="preserve"> </w:t>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 xml:space="preserve">La literalidad del Convenio 98 de la OIT, del año 1949, no deja lugar a dudas sobre la recíproca capacidad negocial de empleadores y trabajadores, cuando indica en su artículo cuatro que </w:t>
      </w:r>
      <w:r w:rsidRPr="00546B2F">
        <w:rPr>
          <w:rFonts w:ascii="Times New Roman" w:hAnsi="Times New Roman" w:cs="Times New Roman"/>
          <w:i/>
          <w:sz w:val="24"/>
          <w:szCs w:val="24"/>
        </w:rPr>
        <w:t>“deberán adaptarse medidas adecuadas a las condiciones nacionales, cuando ello sea necesario, para fomentar y estimular entre los empleadores y las organizaciones de empleadores por una parte y, las organizaciones de trabajadores, por otr</w:t>
      </w:r>
      <w:r>
        <w:rPr>
          <w:rFonts w:ascii="Times New Roman" w:hAnsi="Times New Roman" w:cs="Times New Roman"/>
          <w:i/>
          <w:sz w:val="24"/>
          <w:szCs w:val="24"/>
        </w:rPr>
        <w:t xml:space="preserve">a, el pleno desarrollo y uso de procedimientos </w:t>
      </w:r>
      <w:r w:rsidRPr="00546B2F">
        <w:rPr>
          <w:rFonts w:ascii="Times New Roman" w:hAnsi="Times New Roman" w:cs="Times New Roman"/>
          <w:i/>
          <w:sz w:val="24"/>
          <w:szCs w:val="24"/>
        </w:rPr>
        <w:t xml:space="preserve">de negociación voluntaria, con objeto de reglamentar, por medio de contratos colectivos, las condiciones de empleo”. </w:t>
      </w:r>
      <w:r w:rsidRPr="00546B2F">
        <w:rPr>
          <w:rFonts w:ascii="Times New Roman" w:hAnsi="Times New Roman" w:cs="Times New Roman"/>
          <w:sz w:val="24"/>
          <w:szCs w:val="24"/>
        </w:rPr>
        <w:t xml:space="preserve">De hecho, el Comité de Libertad Sindical, en su jurisprudencia, nos recuerda que en los trabajos preliminares para la adopción del Convenio número 87 se estableció claramente que uno de los principales fines de la libertad sindical era permitir empleadores y asalariados se unieran en organizaciones independientes de los poderes públicos, con capacidad para determinar, por medio de convenios colectivos llevados a cabo libremente, los salarios y otras condiciones de empleo. </w:t>
      </w:r>
      <w:r w:rsidRPr="00546B2F">
        <w:rPr>
          <w:rStyle w:val="Refdenotaalpie"/>
          <w:rFonts w:ascii="Times New Roman" w:hAnsi="Times New Roman" w:cs="Times New Roman"/>
          <w:sz w:val="24"/>
          <w:szCs w:val="24"/>
        </w:rPr>
        <w:footnoteReference w:id="41"/>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 xml:space="preserve">Se confirma de este modo que también desde el ángulo normativo del derecho internacional laboral, el derecho a la negociación colectiva es un derecho común a empleadores y trabajadores, lo mismo que a sus organizaciones. </w:t>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 xml:space="preserve">Llegado este punto en el desarrollo de nuestro trabajo, las interrogantes que podemos ir formulando y que permiten vincular las distintas partes del mismo, son las que nos conducen a pensar sobre cuáles serían los medios con que se cuenta o con los que se podría contar en el futuro para mantener vigentes aquellos aspectos positivos que se han alcanzado con la evolución del derecho colectivo de trabajo, tal como la representación institucional de los </w:t>
      </w:r>
      <w:r w:rsidRPr="00546B2F">
        <w:rPr>
          <w:rFonts w:ascii="Times New Roman" w:hAnsi="Times New Roman" w:cs="Times New Roman"/>
          <w:sz w:val="24"/>
          <w:szCs w:val="24"/>
        </w:rPr>
        <w:lastRenderedPageBreak/>
        <w:t>sindicatos, y el ámbito de autonomía que los ordenamientos jurídicos han concedido a trabajadores y empleadores para la autodeterminación de condiciones laborales.</w:t>
      </w:r>
    </w:p>
    <w:p w:rsidR="00957FEC" w:rsidRPr="00546B2F" w:rsidRDefault="00957FEC" w:rsidP="00957FEC">
      <w:pPr>
        <w:spacing w:line="360" w:lineRule="auto"/>
        <w:jc w:val="both"/>
        <w:rPr>
          <w:rFonts w:ascii="Times New Roman" w:hAnsi="Times New Roman" w:cs="Times New Roman"/>
          <w:b/>
          <w:sz w:val="24"/>
          <w:szCs w:val="24"/>
        </w:rPr>
      </w:pPr>
    </w:p>
    <w:p w:rsidR="00957FEC" w:rsidRPr="00546B2F" w:rsidRDefault="00957FEC" w:rsidP="00957FEC">
      <w:pPr>
        <w:pStyle w:val="Prrafodelista"/>
        <w:numPr>
          <w:ilvl w:val="0"/>
          <w:numId w:val="1"/>
        </w:numPr>
        <w:spacing w:line="360" w:lineRule="auto"/>
        <w:jc w:val="both"/>
        <w:rPr>
          <w:rFonts w:ascii="Times New Roman" w:hAnsi="Times New Roman" w:cs="Times New Roman"/>
          <w:b/>
          <w:sz w:val="24"/>
          <w:szCs w:val="24"/>
        </w:rPr>
      </w:pPr>
      <w:r w:rsidRPr="00546B2F">
        <w:rPr>
          <w:rFonts w:ascii="Times New Roman" w:hAnsi="Times New Roman" w:cs="Times New Roman"/>
          <w:b/>
          <w:sz w:val="24"/>
          <w:szCs w:val="24"/>
        </w:rPr>
        <w:t>Dimensión política de la actividad sindical.</w:t>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Habría que remontarse seguramente a principios del siglo XX y trasladarse al momento clave que vive la Segunda Internacional Socialista en el continente europeo, para ubicar una determinación que en relación con el papel de los sindicatos, tendría consecuencias muy importantes hacia futuro. El momento escogido es el de la discusión que se da en el seno de la citada organización, en punto al papel de los sindicatos dentro del engranaje en el que se mezclaba la lucha propiamente sindical de las organizaciones de trabajadores, con la lucha partidaria de los jóvenes partidos social demócratas. La gran interrogante era cómo deslindar la lucha sindical de la lucha partidaria, lo cual incluía también la pregunta de si efectivamente debían separarse esos dos ámbitos de militancia, o si debían permanecer unidos, como había sucedido en varios de los países con representación en la mencionada Internacional.</w:t>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 xml:space="preserve">Las coordenadas de tiempo y lugar seleccionadas nos llevan pues  a que en el VII Congreso de la Segunda Internacional Socialista, celebrada en Stutgart, en el año de 1907, se incluyó dentro de la agenda un punto denominado: “relaciones entre el partido y los sindicatos”. Es así como el Congreso en cuestión, aprueba una resolución donde se separan los roles de sindicatos y de partidos políticos, otorgando a estos últimos el </w:t>
      </w:r>
      <w:r w:rsidRPr="00546B2F">
        <w:rPr>
          <w:rFonts w:ascii="Times New Roman" w:hAnsi="Times New Roman" w:cs="Times New Roman"/>
          <w:i/>
          <w:sz w:val="24"/>
          <w:szCs w:val="24"/>
        </w:rPr>
        <w:t xml:space="preserve">“dominio” </w:t>
      </w:r>
      <w:r w:rsidRPr="00546B2F">
        <w:rPr>
          <w:rFonts w:ascii="Times New Roman" w:hAnsi="Times New Roman" w:cs="Times New Roman"/>
          <w:sz w:val="24"/>
          <w:szCs w:val="24"/>
        </w:rPr>
        <w:t xml:space="preserve">de la lucha política, mientras a los sindicatos se les limitaba a la lucha económica. </w:t>
      </w:r>
      <w:r w:rsidRPr="00546B2F">
        <w:rPr>
          <w:rStyle w:val="Refdenotaalpie"/>
          <w:rFonts w:ascii="Times New Roman" w:hAnsi="Times New Roman" w:cs="Times New Roman"/>
          <w:sz w:val="24"/>
          <w:szCs w:val="24"/>
        </w:rPr>
        <w:footnoteReference w:id="42"/>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lastRenderedPageBreak/>
        <w:t xml:space="preserve">Esta resolución, independientemente de sus fines, permitió que históricamente se cayera en un vicio de interpretación socio-política, que en buena medida ha perdurado hasta nuestros días, enfatizando- en términos hegelianos- </w:t>
      </w:r>
      <w:r w:rsidRPr="00546B2F">
        <w:rPr>
          <w:rFonts w:ascii="Times New Roman" w:hAnsi="Times New Roman" w:cs="Times New Roman"/>
          <w:i/>
          <w:sz w:val="24"/>
          <w:szCs w:val="24"/>
        </w:rPr>
        <w:t xml:space="preserve">“el momento político” </w:t>
      </w:r>
      <w:r w:rsidRPr="00546B2F">
        <w:rPr>
          <w:rFonts w:ascii="Times New Roman" w:hAnsi="Times New Roman" w:cs="Times New Roman"/>
          <w:sz w:val="24"/>
          <w:szCs w:val="24"/>
        </w:rPr>
        <w:t xml:space="preserve">de la lucha social, en manos de los partidos políticos y el </w:t>
      </w:r>
      <w:r w:rsidRPr="00546B2F">
        <w:rPr>
          <w:rFonts w:ascii="Times New Roman" w:hAnsi="Times New Roman" w:cs="Times New Roman"/>
          <w:i/>
          <w:sz w:val="24"/>
          <w:szCs w:val="24"/>
        </w:rPr>
        <w:t xml:space="preserve">“momento económico” </w:t>
      </w:r>
      <w:r w:rsidRPr="00546B2F">
        <w:rPr>
          <w:rFonts w:ascii="Times New Roman" w:hAnsi="Times New Roman" w:cs="Times New Roman"/>
          <w:sz w:val="24"/>
          <w:szCs w:val="24"/>
        </w:rPr>
        <w:t xml:space="preserve">en manos de las organizaciones sindicales. En otras palabras, es como si se hubiera dividido de alguna forma la dirección y también la organización del movimiento de los asalariados, para confiar el frente político a los partidos, y el frente económico a los sindicatos. </w:t>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 xml:space="preserve">Lo anterior derivó en un reduccionismo de la actividad sindical y en la manipulación de las organizaciones sindicales, por parte de las organizaciones políticas, obligando a aquéllas transitar por un largo período histórico, a fin de reivindicar al menos dos aspectos centrales de su identidad: que se les reconozca también un papel importante en la lucha política, y su independencia frente a las organizaciones partidarias. </w:t>
      </w:r>
      <w:r w:rsidRPr="00546B2F">
        <w:rPr>
          <w:rStyle w:val="Refdenotaalpie"/>
          <w:rFonts w:ascii="Times New Roman" w:hAnsi="Times New Roman" w:cs="Times New Roman"/>
          <w:sz w:val="24"/>
          <w:szCs w:val="24"/>
        </w:rPr>
        <w:footnoteReference w:id="43"/>
      </w:r>
    </w:p>
    <w:p w:rsidR="00957FEC" w:rsidRPr="00546B2F" w:rsidRDefault="00957FEC" w:rsidP="00957FEC">
      <w:pPr>
        <w:spacing w:line="360" w:lineRule="auto"/>
        <w:jc w:val="both"/>
        <w:rPr>
          <w:rFonts w:ascii="Times New Roman" w:hAnsi="Times New Roman" w:cs="Times New Roman"/>
          <w:i/>
          <w:sz w:val="24"/>
          <w:szCs w:val="24"/>
        </w:rPr>
      </w:pPr>
      <w:r w:rsidRPr="00546B2F">
        <w:rPr>
          <w:rFonts w:ascii="Times New Roman" w:hAnsi="Times New Roman" w:cs="Times New Roman"/>
          <w:sz w:val="24"/>
          <w:szCs w:val="24"/>
        </w:rPr>
        <w:t xml:space="preserve">La visión anterior del papel de los sindicatos, como se ve, impulsada desde el propio movimiento obrero internacional, tuvo su expresión en el mundo del derecho, que para el caso italiano reseñan perfectamente Monereo Pérez y Fernández Avilez, en el Estudio Preliminar a la obra de Geovanni Tarello, ya citada en este trabajo, al ubicar una doctrina que denominan “privatista”, en la posguerra del siglo XX,  la cual, en palabras de los autores, </w:t>
      </w:r>
      <w:r w:rsidRPr="00546B2F">
        <w:rPr>
          <w:rFonts w:ascii="Times New Roman" w:hAnsi="Times New Roman" w:cs="Times New Roman"/>
          <w:i/>
          <w:sz w:val="24"/>
          <w:szCs w:val="24"/>
        </w:rPr>
        <w:t>“supuso que las organizaciones sindicales, como asociaciones de Derecho Privado solo podían servir a intereses estrictamente “privados”, produciéndose así un confinamiento de su actividad hacia la esfera exclusiva de “lo social” y para la defensa de intereses de grupo o categoría, excluyente de la intervención en el ámbito de la actividad política. La operación de política legislativa y cultural se completa con un modelo privatista de huelga y un modelo contractual de negociación colectiva. Todo ello contribuye a eludir cualquier intervención estatal en la materia y a perpetuar un estado de carencia legislativa”.</w:t>
      </w:r>
      <w:r w:rsidRPr="00546B2F">
        <w:rPr>
          <w:rStyle w:val="Refdenotaalpie"/>
          <w:rFonts w:ascii="Times New Roman" w:hAnsi="Times New Roman" w:cs="Times New Roman"/>
          <w:i/>
          <w:sz w:val="24"/>
          <w:szCs w:val="24"/>
        </w:rPr>
        <w:footnoteReference w:id="44"/>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lastRenderedPageBreak/>
        <w:t xml:space="preserve">La adopción legislativa del modelo antes descrito, conllevaba, que el sindicato no aparecía como sujeto político capaz de intervenir en la determinación del interés general, sino como un sujeto privado </w:t>
      </w:r>
      <w:r w:rsidRPr="00546B2F">
        <w:rPr>
          <w:rFonts w:ascii="Times New Roman" w:hAnsi="Times New Roman" w:cs="Times New Roman"/>
          <w:i/>
          <w:sz w:val="24"/>
          <w:szCs w:val="24"/>
        </w:rPr>
        <w:t xml:space="preserve">“encorsetado en la esfera mitificada de la sociedad civil”. </w:t>
      </w:r>
      <w:r w:rsidRPr="00546B2F">
        <w:rPr>
          <w:rStyle w:val="Refdenotaalpie"/>
          <w:rFonts w:ascii="Times New Roman" w:hAnsi="Times New Roman" w:cs="Times New Roman"/>
          <w:i/>
          <w:sz w:val="24"/>
          <w:szCs w:val="24"/>
        </w:rPr>
        <w:footnoteReference w:id="45"/>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En la medida en que los sindicatos representan o “personifican” el interés profesional de los trabajadores asalariados, básicamente, según se ha sostenido páginas atrás, es claro que esa representación no puede limitarse únicamente a las relaciones entre esos trabajadores y el empleador, a nivel de empresa o de profesión. La defensa del interés gremial trasciende esa relación.</w:t>
      </w:r>
      <w:r w:rsidRPr="00546B2F">
        <w:rPr>
          <w:rStyle w:val="Refdenotaalpie"/>
          <w:rFonts w:ascii="Times New Roman" w:hAnsi="Times New Roman" w:cs="Times New Roman"/>
          <w:sz w:val="24"/>
          <w:szCs w:val="24"/>
        </w:rPr>
        <w:footnoteReference w:id="46"/>
      </w:r>
      <w:r w:rsidRPr="00546B2F">
        <w:rPr>
          <w:rFonts w:ascii="Times New Roman" w:hAnsi="Times New Roman" w:cs="Times New Roman"/>
          <w:sz w:val="24"/>
          <w:szCs w:val="24"/>
        </w:rPr>
        <w:t xml:space="preserve"> La representación de los intereses de los trabajadores, en efecto, no se limita a las cuestiones meramente económicas, ni siquiera dentro de la empresa o a nivel de profesión, pues en esos espacios también se trata de cubrir las necesidades de índole social, cultural, de salud, de capacitación y de información de los trabajadores. Pero además, esa representación se extiende extramuros de la empresa o la profesión, para cubrir a todo el grupo social, de cara a las decisiones que el Estado y otras organizaciones de la sociedad civil determinan, y que afectan el estatus socio-económico de los trabajadores y de sus familias. Si a esa incursión de la actividad sindical se le debe llamar “política”, no vemos problema alguno en que así se denomine.</w:t>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 xml:space="preserve">Al referirse a este tema, el autor Vásquez Vialard, empieza por vincular la política como una óptica común, con </w:t>
      </w:r>
      <w:r w:rsidRPr="00546B2F">
        <w:rPr>
          <w:rFonts w:ascii="Times New Roman" w:hAnsi="Times New Roman" w:cs="Times New Roman"/>
          <w:i/>
          <w:sz w:val="24"/>
          <w:szCs w:val="24"/>
        </w:rPr>
        <w:t xml:space="preserve">“la fijación de los fines y objetivos que debe perseguir una comunidad o un determinado aspecto de la vida o de su totalidad y la determinación de los medios más oportunos para lograrlos”. </w:t>
      </w:r>
    </w:p>
    <w:p w:rsidR="00957FEC" w:rsidRPr="00546B2F" w:rsidRDefault="00957FEC" w:rsidP="00957FEC">
      <w:pPr>
        <w:spacing w:line="360" w:lineRule="auto"/>
        <w:jc w:val="both"/>
        <w:rPr>
          <w:rFonts w:ascii="Times New Roman" w:hAnsi="Times New Roman" w:cs="Times New Roman"/>
          <w:i/>
          <w:sz w:val="24"/>
          <w:szCs w:val="24"/>
        </w:rPr>
      </w:pPr>
      <w:r w:rsidRPr="00546B2F">
        <w:rPr>
          <w:rFonts w:ascii="Times New Roman" w:hAnsi="Times New Roman" w:cs="Times New Roman"/>
          <w:sz w:val="24"/>
          <w:szCs w:val="24"/>
        </w:rPr>
        <w:t xml:space="preserve">Definido lo anterior- señala este autor-, </w:t>
      </w:r>
      <w:r w:rsidRPr="00546B2F">
        <w:rPr>
          <w:rFonts w:ascii="Times New Roman" w:hAnsi="Times New Roman" w:cs="Times New Roman"/>
          <w:i/>
          <w:sz w:val="24"/>
          <w:szCs w:val="24"/>
        </w:rPr>
        <w:t xml:space="preserve">“no hay razón para que los sindicatos como sociedades intermedias no puedan expresar legítimamente las aspiraciones y deseos de los trabajadores respecto de tales objetivos, de su orden de preferencia, así como también de exponer sus críticas respecto de las acciones desplegadas con anterioridad para alcanzar </w:t>
      </w:r>
      <w:r w:rsidRPr="00546B2F">
        <w:rPr>
          <w:rFonts w:ascii="Times New Roman" w:hAnsi="Times New Roman" w:cs="Times New Roman"/>
          <w:i/>
          <w:sz w:val="24"/>
          <w:szCs w:val="24"/>
        </w:rPr>
        <w:lastRenderedPageBreak/>
        <w:t>los que se habían propuesto. Si los tales sindicatos constituyen una parte de la comunidad global, es evidente que se proyecte y ejecute (y repercuta sobre ellos) en materia cultural, educativa, social, económica”.</w:t>
      </w:r>
      <w:r w:rsidRPr="00546B2F">
        <w:rPr>
          <w:rStyle w:val="Refdenotaalpie"/>
          <w:rFonts w:ascii="Times New Roman" w:hAnsi="Times New Roman" w:cs="Times New Roman"/>
          <w:i/>
          <w:sz w:val="24"/>
          <w:szCs w:val="24"/>
        </w:rPr>
        <w:footnoteReference w:id="47"/>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 xml:space="preserve">Siendo ello así, habría que pensar también, aunque se trate de un tema que apenas puede quedar aquí planteado, que el reconocimiento de los sindicatos y de la actividad sindical, a nivel constitucional, ha implicado una especie de “publificación” de lo económico y por tanto también de lo sindical. Ello sustrae la disciplina de la huelga a los principios generales de los contratos y por ello la encuadra dentro de un sistema jurídico en el que la huelga no tendría un sentido restringido, sino mucho más amplio. </w:t>
      </w:r>
      <w:r w:rsidRPr="00546B2F">
        <w:rPr>
          <w:rStyle w:val="Refdenotaalpie"/>
          <w:rFonts w:ascii="Times New Roman" w:hAnsi="Times New Roman" w:cs="Times New Roman"/>
          <w:sz w:val="24"/>
          <w:szCs w:val="24"/>
        </w:rPr>
        <w:footnoteReference w:id="48"/>
      </w:r>
      <w:r w:rsidRPr="00546B2F">
        <w:rPr>
          <w:rFonts w:ascii="Times New Roman" w:hAnsi="Times New Roman" w:cs="Times New Roman"/>
          <w:sz w:val="24"/>
          <w:szCs w:val="24"/>
        </w:rPr>
        <w:t xml:space="preserve"> Pero además, ello autoriza a trascender lo meramente económico inmediato en la empresa o en la profesión (salarios, beneficios sindicales, jornadas, descansos, etc.), por parte de los sindicatos, quienes como representantes institucionales pueden también participar del subsistema político, en tanto no conviertan su actividad en una partidaria. Y no afirmamos esto porque creamos que no puedan existir vasos comunicantes entre la actividad sindical y la partidaria, como lo demuestran las experiencias del Partido Demócrata en EEUU o del partido Laborista en el Reino Unido. Lo decimos porque en la mayor parte de los países que siguen el modelo de sindicato presente en los convenios y recomendaciones de la OIT, sindicatos y partidos políticos cumplen funciones políticas y sociales diferenciadas, lo cual admiten los mismos sindicatos que mantienen relaciones con determinadas organizaciones político partidarias. En tal sentido, convertir los sindicatos en extensiones o alas sociales de los partidos políticos, regularmente crea sectarismo y divisionismo dentro de organizaciones que están llamadas a aglutinar a los trabajadores en razón de su ubicación en la sociedad y en la economía y no por su militancia política.</w:t>
      </w:r>
      <w:r w:rsidRPr="00546B2F">
        <w:rPr>
          <w:rStyle w:val="Refdenotaalpie"/>
          <w:rFonts w:ascii="Times New Roman" w:hAnsi="Times New Roman" w:cs="Times New Roman"/>
          <w:sz w:val="24"/>
          <w:szCs w:val="24"/>
        </w:rPr>
        <w:footnoteReference w:id="49"/>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lastRenderedPageBreak/>
        <w:t xml:space="preserve">Ahora bien, la tesis que sustentamos es que independientemente de que en el derecho comparado, la mayoría de países restrinjan los fines sindicales y no refieran directamente a objetivos de naturaleza política, tales limitaciones deben entenderse referidas a la participación política partidaria, pues otros aspectos de la vida política, fundamentalmente los que se refieren a la necesidad de influir en los órganos que controlan el poder político del Estado, para reivindicar el programa socio económico que su afiliación defiende, sí puede ser tarea de las organizaciones sindicales. No de otra forma podrían cumplir esa función de representación institucional a la que hemos venido haciendo referencia </w:t>
      </w:r>
      <w:r w:rsidRPr="00546B2F">
        <w:rPr>
          <w:rStyle w:val="Refdenotaalpie"/>
          <w:rFonts w:ascii="Times New Roman" w:hAnsi="Times New Roman" w:cs="Times New Roman"/>
          <w:sz w:val="24"/>
          <w:szCs w:val="24"/>
        </w:rPr>
        <w:footnoteReference w:id="50"/>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 xml:space="preserve">El fundamento jurídico de esta extensión del papel de representación de intereses sindicales, más allá de la empresa y como parte del subsistema político de una país, lo encontramos sin duda en el Convenio No. 87 de la OIT, concretamente en su artículo tres, al indicarse que las organizaciones de trabajadores </w:t>
      </w:r>
      <w:r w:rsidRPr="009A2FA0">
        <w:rPr>
          <w:rFonts w:ascii="Times New Roman" w:hAnsi="Times New Roman" w:cs="Times New Roman"/>
          <w:sz w:val="24"/>
          <w:szCs w:val="24"/>
        </w:rPr>
        <w:t>y de</w:t>
      </w:r>
      <w:r w:rsidRPr="00292BCE">
        <w:rPr>
          <w:rFonts w:ascii="Times New Roman" w:hAnsi="Times New Roman" w:cs="Times New Roman"/>
          <w:color w:val="FF0000"/>
          <w:sz w:val="24"/>
          <w:szCs w:val="24"/>
        </w:rPr>
        <w:t xml:space="preserve"> </w:t>
      </w:r>
      <w:r w:rsidRPr="00546B2F">
        <w:rPr>
          <w:rFonts w:ascii="Times New Roman" w:hAnsi="Times New Roman" w:cs="Times New Roman"/>
          <w:sz w:val="24"/>
          <w:szCs w:val="24"/>
        </w:rPr>
        <w:t xml:space="preserve">empleadores tienen el derecho de redactar sus estatutos y reglamentos administrativos, el de elegir libremente a sus representantes, el de organizar su administración y sus actividades y el de formular su programa de acción. La misma norma exige a las autoridades públicas abstenerse de toda intervención que tienda a limitar este derecho o a entorpecer su ejercicio legal. </w:t>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 xml:space="preserve">A este respecto ha señalado el Comité de Libertad Sindical de la OIT que la existencia de disposiciones en las cuales se prohíba de manera general las actividades políticas de los sindicatos, resultan contrarias a la libertad sindical. Más aun, indica este Comité, la prohibición general de toda actividad política de los sindicatos no solo sería incompatible con los principios de la libertad sindical, sino que carecería de realismo en cuanto a su aplicación práctica. En efecto, las organizaciones sindicales pueden querer, por ejemplo, manifestar públicamente su opinión sobre la política económica y social de un gobierno. </w:t>
      </w:r>
      <w:r w:rsidRPr="00546B2F">
        <w:rPr>
          <w:rStyle w:val="Refdenotaalpie"/>
          <w:rFonts w:ascii="Times New Roman" w:hAnsi="Times New Roman" w:cs="Times New Roman"/>
          <w:sz w:val="24"/>
          <w:szCs w:val="24"/>
        </w:rPr>
        <w:footnoteReference w:id="51"/>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lastRenderedPageBreak/>
        <w:t xml:space="preserve">Lo importante entonces es tomar en cuenta, que al </w:t>
      </w:r>
      <w:r w:rsidRPr="00546B2F">
        <w:rPr>
          <w:rFonts w:ascii="Times New Roman" w:hAnsi="Times New Roman" w:cs="Times New Roman"/>
          <w:i/>
          <w:sz w:val="24"/>
          <w:szCs w:val="24"/>
        </w:rPr>
        <w:t>“formular su programa de acción”</w:t>
      </w:r>
      <w:r w:rsidRPr="00546B2F">
        <w:rPr>
          <w:rFonts w:ascii="Times New Roman" w:hAnsi="Times New Roman" w:cs="Times New Roman"/>
          <w:sz w:val="24"/>
          <w:szCs w:val="24"/>
        </w:rPr>
        <w:t>, según lo contempla el convenio No. 87, las organizaciones de trabajadores, llámense sindicatos, pueden expresar libremente sus posiciones y movilizar a sus afiliados en favor de posiciones de carácter político, en tanto se promueva el progreso material e intelectual de sus representados, superando así cualquier división mecanicista entre lucha política y lucha económica.</w:t>
      </w:r>
    </w:p>
    <w:p w:rsidR="00957FEC" w:rsidRPr="00546B2F" w:rsidRDefault="00957FEC" w:rsidP="00957FEC">
      <w:pPr>
        <w:spacing w:line="360" w:lineRule="auto"/>
        <w:jc w:val="both"/>
        <w:rPr>
          <w:rFonts w:ascii="Times New Roman" w:hAnsi="Times New Roman" w:cs="Times New Roman"/>
          <w:sz w:val="24"/>
          <w:szCs w:val="24"/>
        </w:rPr>
      </w:pPr>
      <w:r w:rsidRPr="00546B2F">
        <w:rPr>
          <w:rFonts w:ascii="Times New Roman" w:hAnsi="Times New Roman" w:cs="Times New Roman"/>
          <w:sz w:val="24"/>
          <w:szCs w:val="24"/>
        </w:rPr>
        <w:t>¿Pueden los sindicatos mantener hacia futuro la vocación de representación de intereses de grupo, de categoría o de clase, partiendo del abandono de lo social y de su debilitamiento paulatino cuyas causas ya se analizaron en la primera parte de este trabajo? Nuevamente, ¿cuáles son los medios de que deberían valerse las organizaciones sindicales para sobrevivir dentro de un mundo que limita cada vez más sus posibilidades de acción de existencia?</w:t>
      </w:r>
    </w:p>
    <w:p w:rsidR="00957FEC" w:rsidRPr="00546B2F" w:rsidRDefault="00957FEC" w:rsidP="00957FEC">
      <w:pPr>
        <w:spacing w:line="360" w:lineRule="auto"/>
        <w:jc w:val="both"/>
        <w:rPr>
          <w:rFonts w:ascii="Times New Roman" w:hAnsi="Times New Roman" w:cs="Times New Roman"/>
          <w:sz w:val="24"/>
          <w:szCs w:val="24"/>
        </w:rPr>
      </w:pPr>
    </w:p>
    <w:p w:rsidR="00957FEC" w:rsidRPr="00546B2F" w:rsidRDefault="00957FEC" w:rsidP="00957FEC">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Pr="009A2FA0">
        <w:rPr>
          <w:rFonts w:ascii="Times New Roman" w:hAnsi="Times New Roman" w:cs="Times New Roman"/>
          <w:b/>
          <w:sz w:val="24"/>
          <w:szCs w:val="24"/>
        </w:rPr>
        <w:t>IV.</w:t>
      </w:r>
      <w:r w:rsidRPr="00546B2F">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546B2F">
        <w:rPr>
          <w:rFonts w:ascii="Times New Roman" w:hAnsi="Times New Roman" w:cs="Times New Roman"/>
          <w:b/>
          <w:sz w:val="24"/>
          <w:szCs w:val="24"/>
        </w:rPr>
        <w:t>La encrucijada sindical.</w:t>
      </w:r>
    </w:p>
    <w:p w:rsidR="00957FEC" w:rsidRDefault="00957FEC" w:rsidP="00957FEC">
      <w:pPr>
        <w:spacing w:line="360" w:lineRule="auto"/>
        <w:jc w:val="both"/>
        <w:rPr>
          <w:rFonts w:ascii="Times New Roman" w:hAnsi="Times New Roman" w:cs="Times New Roman"/>
          <w:i/>
          <w:sz w:val="24"/>
          <w:szCs w:val="24"/>
        </w:rPr>
      </w:pPr>
      <w:r>
        <w:rPr>
          <w:rFonts w:ascii="Times New Roman" w:hAnsi="Times New Roman" w:cs="Times New Roman"/>
          <w:sz w:val="24"/>
          <w:szCs w:val="24"/>
        </w:rPr>
        <w:t xml:space="preserve">Señala Patricio Frías, consultor de la Organización Internacional del Trabajo que el rol de la organización sindical es irremplazable </w:t>
      </w:r>
      <w:r>
        <w:rPr>
          <w:rFonts w:ascii="Times New Roman" w:hAnsi="Times New Roman" w:cs="Times New Roman"/>
          <w:i/>
          <w:sz w:val="24"/>
          <w:szCs w:val="24"/>
        </w:rPr>
        <w:t xml:space="preserve">“pues solo la organización sindical- y ningún otro mecanismo y equipo organizativo-es capaz de transformar los intereses individuales en intereses colectivos, lo que le otorga su fuerza, y lo constituye en una instancia de defensa económico y laboral”. </w:t>
      </w:r>
      <w:r>
        <w:rPr>
          <w:rStyle w:val="Refdenotaalpie"/>
          <w:rFonts w:ascii="Times New Roman" w:hAnsi="Times New Roman" w:cs="Times New Roman"/>
          <w:i/>
          <w:sz w:val="24"/>
          <w:szCs w:val="24"/>
        </w:rPr>
        <w:footnoteReference w:id="52"/>
      </w:r>
    </w:p>
    <w:p w:rsidR="00957FEC" w:rsidRDefault="00957FEC" w:rsidP="00957FE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Para la Conferencia de la ONU sobre Ambiente y Desarrollo (UNCED), celebrada en Río de Janeiro en 1992, </w:t>
      </w:r>
      <w:r w:rsidRPr="00DA2F4A">
        <w:rPr>
          <w:rFonts w:ascii="Times New Roman" w:hAnsi="Times New Roman" w:cs="Times New Roman"/>
          <w:i/>
          <w:sz w:val="24"/>
          <w:szCs w:val="24"/>
        </w:rPr>
        <w:t>“los sindicatos son actores vitales a la hora de lograr el desarrollo sostenible, en razón de su experiencia en enfrentar el cambio industrial, la extremada prioridad que tales organizaciones otorgan a la protección del ambiente laboral y el ambiente natural con que este se relaciona, y su promoción de la responsabilidad social y el desarrollo económico</w:t>
      </w:r>
      <w:r>
        <w:rPr>
          <w:rFonts w:ascii="Times New Roman" w:hAnsi="Times New Roman" w:cs="Times New Roman"/>
          <w:sz w:val="24"/>
          <w:szCs w:val="24"/>
        </w:rPr>
        <w:t xml:space="preserve">. </w:t>
      </w:r>
      <w:r>
        <w:rPr>
          <w:rStyle w:val="Refdenotaalpie"/>
          <w:rFonts w:ascii="Times New Roman" w:hAnsi="Times New Roman" w:cs="Times New Roman"/>
          <w:sz w:val="24"/>
          <w:szCs w:val="24"/>
        </w:rPr>
        <w:footnoteReference w:id="53"/>
      </w:r>
      <w:r>
        <w:rPr>
          <w:rFonts w:ascii="Times New Roman" w:hAnsi="Times New Roman" w:cs="Times New Roman"/>
          <w:sz w:val="24"/>
          <w:szCs w:val="24"/>
        </w:rPr>
        <w:t xml:space="preserve"> Otros autores, como Verana Schmidt sostienen que los sindicatos, </w:t>
      </w:r>
      <w:r>
        <w:rPr>
          <w:rFonts w:ascii="Times New Roman" w:hAnsi="Times New Roman" w:cs="Times New Roman"/>
          <w:sz w:val="24"/>
          <w:szCs w:val="24"/>
        </w:rPr>
        <w:lastRenderedPageBreak/>
        <w:t xml:space="preserve">como las partes más organizadas de la sociedad civil, resultan claves a la hora de influir en las reglas de la globalización. No solo eso sino que además los sindicatos juegan un papel dominante a la hora de implementar esas reglas. </w:t>
      </w:r>
      <w:r>
        <w:rPr>
          <w:rStyle w:val="Refdenotaalpie"/>
          <w:rFonts w:ascii="Times New Roman" w:hAnsi="Times New Roman" w:cs="Times New Roman"/>
          <w:sz w:val="24"/>
          <w:szCs w:val="24"/>
        </w:rPr>
        <w:footnoteReference w:id="54"/>
      </w:r>
    </w:p>
    <w:p w:rsidR="00957FEC" w:rsidRDefault="00957FEC" w:rsidP="00957FEC">
      <w:pPr>
        <w:spacing w:line="360" w:lineRule="auto"/>
        <w:jc w:val="both"/>
        <w:rPr>
          <w:rFonts w:ascii="Times New Roman" w:hAnsi="Times New Roman" w:cs="Times New Roman"/>
          <w:sz w:val="24"/>
          <w:szCs w:val="24"/>
        </w:rPr>
      </w:pPr>
      <w:r>
        <w:rPr>
          <w:rFonts w:ascii="Times New Roman" w:hAnsi="Times New Roman" w:cs="Times New Roman"/>
          <w:sz w:val="24"/>
          <w:szCs w:val="24"/>
        </w:rPr>
        <w:t>Independientemente de que consideremos que las organizaciones sindicales deben o no tener la representación monopolística de los intereses de los trabajadores en la empresa, aceptándose bajo ciertas condiciones  formas de representación dual, como lo hace por ejemplo el Informe Supiot</w:t>
      </w:r>
      <w:r>
        <w:rPr>
          <w:rStyle w:val="Refdenotaalpie"/>
          <w:rFonts w:ascii="Times New Roman" w:hAnsi="Times New Roman" w:cs="Times New Roman"/>
          <w:sz w:val="24"/>
          <w:szCs w:val="24"/>
        </w:rPr>
        <w:footnoteReference w:id="55"/>
      </w:r>
      <w:r>
        <w:rPr>
          <w:rFonts w:ascii="Times New Roman" w:hAnsi="Times New Roman" w:cs="Times New Roman"/>
          <w:sz w:val="24"/>
          <w:szCs w:val="24"/>
        </w:rPr>
        <w:t>, eso que la jurisprudencia del Tribunal Constitucional Español denomina “representación institucional”, la tienen exclusivamente los sindicatos, representación que se  fortalece por la dimensión constitucional que tienen estas organizaciones. De allí que coincidamos con quienes consideran que los sindicatos</w:t>
      </w:r>
      <w:r w:rsidRPr="00222E74">
        <w:rPr>
          <w:rFonts w:ascii="Times New Roman" w:hAnsi="Times New Roman" w:cs="Times New Roman"/>
          <w:color w:val="FF0000"/>
          <w:sz w:val="24"/>
          <w:szCs w:val="24"/>
        </w:rPr>
        <w:t>,</w:t>
      </w:r>
      <w:r>
        <w:rPr>
          <w:rFonts w:ascii="Times New Roman" w:hAnsi="Times New Roman" w:cs="Times New Roman"/>
          <w:sz w:val="24"/>
          <w:szCs w:val="24"/>
        </w:rPr>
        <w:t xml:space="preserve"> como formas de organización gremial dentro de la empresa y proyectadas fuera de la misma, continúan siendo efectivamente el instituto jurídico y material más adecuado para la representación de intereses colectivos. No solo eso, sino que estamos convencidos que dada la tutela constitucional de estas organizaciones y el ámbito de autonomía de que gozan en materia de negociación colectiva, se trata de organizaciones portadoras de intereses públicos y no simplemente de intereses privados. También es claro que estas formas de representación, tanto en el nivel nacional, como en el nivel internacional, por medio de las federaciones sindicales por ramas de actividad y las confederaciones sindicales, así como por intermedio de los llamados acuerdos marco internacionales (International Framework Agreements), resultan protagónicos a la hora de constituir centros de contrapoder frente a los poderes del empleador y los efectos negativos de los procesos de globalización en el mundo del trabajo. </w:t>
      </w:r>
    </w:p>
    <w:p w:rsidR="00957FEC" w:rsidRDefault="00957FEC" w:rsidP="00957FE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No obstante lo anterior, negar la debilidad actual de los sindicatos en general, y su consecuente pérdida de influencia a nivel social, sería un error de comprensión histórica casi fatal. A las causas que explican en gran medida el declive de los sindicatos dedicamos la primera parte de este trabajo. Es evidente por lo demás que aparte de las causas económicas que explican el declive sindical, existe una pérdida de identidad ideológica entre los trabajadores y los sindicatos, difícil de restablecer ante las nuevas subjetividades de esta </w:t>
      </w:r>
      <w:r>
        <w:rPr>
          <w:rFonts w:ascii="Times New Roman" w:hAnsi="Times New Roman" w:cs="Times New Roman"/>
          <w:sz w:val="24"/>
          <w:szCs w:val="24"/>
        </w:rPr>
        <w:lastRenderedPageBreak/>
        <w:t xml:space="preserve">época histórica y los efectos de una larga campaña de combate político y cultural contra las organizaciones sindicales por parte de sus antagonistas sociales y de la prensa que apoya a estos últimos. </w:t>
      </w:r>
    </w:p>
    <w:p w:rsidR="00957FEC" w:rsidRDefault="00957FEC" w:rsidP="00957FE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Los efectos de la poca gravitación de las organizaciones sindicales y la pérdida de importancia del mundo del trabajo en general, son evidentes y perjudiciales. Así, para los investigadores Judzik y Sala, lo que ellos denominan “desindicalización” y el comercio ha tenido un papel fundamental en la profundización de la brecha entre salarios y productividad. Según su constatación </w:t>
      </w:r>
      <w:r>
        <w:rPr>
          <w:rFonts w:ascii="Times New Roman" w:hAnsi="Times New Roman" w:cs="Times New Roman"/>
          <w:i/>
          <w:sz w:val="24"/>
          <w:szCs w:val="24"/>
        </w:rPr>
        <w:t>“la secuencia de reformas del mercado de trabajo en los países de la OCDE en las últimas décadas, más el debilitamiento del poder de negociación colectiva, se ha traducido en un menor incremento salarial, en el surgimiento de empleo no tradicional, o ambos”</w:t>
      </w:r>
      <w:r>
        <w:rPr>
          <w:rStyle w:val="Refdenotaalpie"/>
          <w:rFonts w:ascii="Times New Roman" w:hAnsi="Times New Roman" w:cs="Times New Roman"/>
          <w:i/>
          <w:sz w:val="24"/>
          <w:szCs w:val="24"/>
        </w:rPr>
        <w:footnoteReference w:id="56"/>
      </w:r>
      <w:r>
        <w:rPr>
          <w:rFonts w:ascii="Times New Roman" w:hAnsi="Times New Roman" w:cs="Times New Roman"/>
          <w:i/>
          <w:sz w:val="24"/>
          <w:szCs w:val="24"/>
        </w:rPr>
        <w:t xml:space="preserve">. </w:t>
      </w:r>
      <w:r>
        <w:rPr>
          <w:rFonts w:ascii="Times New Roman" w:hAnsi="Times New Roman" w:cs="Times New Roman"/>
          <w:sz w:val="24"/>
          <w:szCs w:val="24"/>
        </w:rPr>
        <w:t>No solo eso, sino que para estos autores, el proceso de “desindicalización”, en el período 1080-2010 impidió que los salarios aumentaran entre un diez y un veinte por ciento en los países de la Europa continental (salvo España) y más de un veinte por ciento en el Japón</w:t>
      </w:r>
      <w:r>
        <w:rPr>
          <w:rStyle w:val="Refdenotaalpie"/>
          <w:rFonts w:ascii="Times New Roman" w:hAnsi="Times New Roman" w:cs="Times New Roman"/>
          <w:sz w:val="24"/>
          <w:szCs w:val="24"/>
        </w:rPr>
        <w:footnoteReference w:id="57"/>
      </w:r>
      <w:r>
        <w:rPr>
          <w:rFonts w:ascii="Times New Roman" w:hAnsi="Times New Roman" w:cs="Times New Roman"/>
          <w:sz w:val="24"/>
          <w:szCs w:val="24"/>
        </w:rPr>
        <w:t>.</w:t>
      </w:r>
    </w:p>
    <w:p w:rsidR="00957FEC" w:rsidRDefault="00957FEC" w:rsidP="00957FEC">
      <w:pPr>
        <w:spacing w:line="360" w:lineRule="auto"/>
        <w:jc w:val="both"/>
        <w:rPr>
          <w:rFonts w:ascii="Times New Roman" w:hAnsi="Times New Roman" w:cs="Times New Roman"/>
          <w:sz w:val="24"/>
          <w:szCs w:val="24"/>
        </w:rPr>
      </w:pPr>
      <w:r>
        <w:rPr>
          <w:rFonts w:ascii="Times New Roman" w:hAnsi="Times New Roman" w:cs="Times New Roman"/>
          <w:sz w:val="24"/>
          <w:szCs w:val="24"/>
        </w:rPr>
        <w:t>No es necesario que examinemos cifras de cada uno de nuestros países para constatar la pérdida de afiliación sindical en números absolutos y relativos, aunque los números son elocuentes. La prensa que objetivamente se ocupa de estos temas, cita a estudiosos del movimiento obrero contemporáneo como Richard Hyman y Magdalena Bernaciaj, quienes hablan</w:t>
      </w:r>
      <w:r w:rsidRPr="002B44EB">
        <w:rPr>
          <w:rFonts w:ascii="Times New Roman" w:hAnsi="Times New Roman" w:cs="Times New Roman"/>
          <w:color w:val="FF0000"/>
          <w:sz w:val="24"/>
          <w:szCs w:val="24"/>
        </w:rPr>
        <w:t xml:space="preserve"> </w:t>
      </w:r>
      <w:r>
        <w:rPr>
          <w:rFonts w:ascii="Times New Roman" w:hAnsi="Times New Roman" w:cs="Times New Roman"/>
          <w:sz w:val="24"/>
          <w:szCs w:val="24"/>
        </w:rPr>
        <w:t xml:space="preserve">de una caída de millones de afiliados en todo el continente obrero entre 1990 y 2008, así como cita al holandés Jelle Visser, el cual recoge en su base de datos la caída de la afiliación en Alemania de 5.5 millones, entre 1990 y 2010. </w:t>
      </w:r>
      <w:r>
        <w:rPr>
          <w:rStyle w:val="Refdenotaalpie"/>
          <w:rFonts w:ascii="Times New Roman" w:hAnsi="Times New Roman" w:cs="Times New Roman"/>
          <w:sz w:val="24"/>
          <w:szCs w:val="24"/>
        </w:rPr>
        <w:footnoteReference w:id="58"/>
      </w:r>
      <w:r>
        <w:rPr>
          <w:rFonts w:ascii="Times New Roman" w:hAnsi="Times New Roman" w:cs="Times New Roman"/>
          <w:sz w:val="24"/>
          <w:szCs w:val="24"/>
        </w:rPr>
        <w:t xml:space="preserve"> En el caso de España, mientras en el año 2008 había un techo de casi tres millones afiliados, siete años después la cifra había caído a los 2.36 millones, justamente en correspondencia con la crisis económica que se inició en aquél año de 2008 en el mundo capitalista. </w:t>
      </w:r>
      <w:r>
        <w:rPr>
          <w:rStyle w:val="Refdenotaalpie"/>
          <w:rFonts w:ascii="Times New Roman" w:hAnsi="Times New Roman" w:cs="Times New Roman"/>
          <w:sz w:val="24"/>
          <w:szCs w:val="24"/>
        </w:rPr>
        <w:footnoteReference w:id="59"/>
      </w:r>
      <w:r>
        <w:rPr>
          <w:rFonts w:ascii="Times New Roman" w:hAnsi="Times New Roman" w:cs="Times New Roman"/>
          <w:sz w:val="24"/>
          <w:szCs w:val="24"/>
        </w:rPr>
        <w:t xml:space="preserve"> En los Estados Unidos, después de </w:t>
      </w:r>
      <w:r>
        <w:rPr>
          <w:rFonts w:ascii="Times New Roman" w:hAnsi="Times New Roman" w:cs="Times New Roman"/>
          <w:sz w:val="24"/>
          <w:szCs w:val="24"/>
        </w:rPr>
        <w:lastRenderedPageBreak/>
        <w:t xml:space="preserve">haberse alcanzado un porcentaje de afiliación de más del cuarenta por ciento o más, durante la época del llamado “New Deal”, actualmente la tasa de afiliación en la empresa privada es de apenas un 7%, si bien existen estudios que demuestran que la mayoría de los obreros prefieren a los sindicatos. </w:t>
      </w:r>
      <w:r>
        <w:rPr>
          <w:rStyle w:val="Refdenotaalpie"/>
          <w:rFonts w:ascii="Times New Roman" w:hAnsi="Times New Roman" w:cs="Times New Roman"/>
          <w:sz w:val="24"/>
          <w:szCs w:val="24"/>
        </w:rPr>
        <w:footnoteReference w:id="60"/>
      </w:r>
      <w:r>
        <w:rPr>
          <w:rFonts w:ascii="Times New Roman" w:hAnsi="Times New Roman" w:cs="Times New Roman"/>
          <w:sz w:val="24"/>
          <w:szCs w:val="24"/>
        </w:rPr>
        <w:t xml:space="preserve"> </w:t>
      </w:r>
    </w:p>
    <w:p w:rsidR="00957FEC" w:rsidRDefault="00957FEC" w:rsidP="00957FEC">
      <w:pPr>
        <w:spacing w:line="360" w:lineRule="auto"/>
        <w:jc w:val="both"/>
        <w:rPr>
          <w:rFonts w:ascii="Times New Roman" w:hAnsi="Times New Roman" w:cs="Times New Roman"/>
          <w:sz w:val="24"/>
          <w:szCs w:val="24"/>
        </w:rPr>
      </w:pPr>
      <w:r>
        <w:rPr>
          <w:rFonts w:ascii="Times New Roman" w:hAnsi="Times New Roman" w:cs="Times New Roman"/>
          <w:sz w:val="24"/>
          <w:szCs w:val="24"/>
        </w:rPr>
        <w:t>Más allá de las cifras y de la pérdida y de la sangría de afiliados se encuentra la pérdida de poder real de que hablan la mayoría de los autores e investigadores.</w:t>
      </w:r>
      <w:r>
        <w:rPr>
          <w:rStyle w:val="Refdenotaalpie"/>
          <w:rFonts w:ascii="Times New Roman" w:hAnsi="Times New Roman" w:cs="Times New Roman"/>
          <w:sz w:val="24"/>
          <w:szCs w:val="24"/>
        </w:rPr>
        <w:footnoteReference w:id="61"/>
      </w:r>
      <w:r>
        <w:rPr>
          <w:rFonts w:ascii="Times New Roman" w:hAnsi="Times New Roman" w:cs="Times New Roman"/>
          <w:sz w:val="24"/>
          <w:szCs w:val="24"/>
        </w:rPr>
        <w:t xml:space="preserve"> </w:t>
      </w:r>
    </w:p>
    <w:p w:rsidR="00957FEC" w:rsidRDefault="00957FEC" w:rsidP="00957FE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pregunta es entonces cómo enfrentar la incertidumbre de la sociedad líquida que menciona Bauman, o las contradicciones del modelo capitalista que nos presenta la época histórica que vivimos, sin sacrificar una institución que ha demostrado históricamente ser el mejor filtro de conversión de intereses individuales en intereses colectivos jurídicamente tutelados. </w:t>
      </w:r>
    </w:p>
    <w:p w:rsidR="00957FEC" w:rsidRDefault="00957FEC" w:rsidP="00957FEC">
      <w:pPr>
        <w:spacing w:line="360" w:lineRule="auto"/>
        <w:jc w:val="both"/>
        <w:rPr>
          <w:rFonts w:ascii="Times New Roman" w:hAnsi="Times New Roman" w:cs="Times New Roman"/>
          <w:b/>
          <w:sz w:val="24"/>
          <w:szCs w:val="24"/>
        </w:rPr>
      </w:pPr>
      <w:r>
        <w:rPr>
          <w:rFonts w:ascii="Times New Roman" w:hAnsi="Times New Roman" w:cs="Times New Roman"/>
          <w:b/>
          <w:sz w:val="24"/>
          <w:szCs w:val="24"/>
        </w:rPr>
        <w:t>Hacia una nueva solidaridad.</w:t>
      </w:r>
    </w:p>
    <w:p w:rsidR="00957FEC" w:rsidRDefault="00957FEC" w:rsidP="00957FEC">
      <w:pPr>
        <w:spacing w:line="360" w:lineRule="auto"/>
        <w:jc w:val="both"/>
        <w:rPr>
          <w:rFonts w:ascii="Times New Roman" w:hAnsi="Times New Roman" w:cs="Times New Roman"/>
          <w:i/>
          <w:sz w:val="24"/>
          <w:szCs w:val="24"/>
        </w:rPr>
      </w:pPr>
      <w:r>
        <w:rPr>
          <w:rFonts w:ascii="Times New Roman" w:hAnsi="Times New Roman" w:cs="Times New Roman"/>
          <w:sz w:val="24"/>
          <w:szCs w:val="24"/>
        </w:rPr>
        <w:t xml:space="preserve"> Son muchos los autores que nos hablan de cómo la fragmentación de la sociedad y la diversidad de intereses, debilitan algunas instituciones tradicionales de la sociedad civil, como son los partidos políticos y los sindicatos.</w:t>
      </w:r>
      <w:r>
        <w:rPr>
          <w:rStyle w:val="Refdenotaalpie"/>
          <w:rFonts w:ascii="Times New Roman" w:hAnsi="Times New Roman" w:cs="Times New Roman"/>
          <w:sz w:val="24"/>
          <w:szCs w:val="24"/>
        </w:rPr>
        <w:footnoteReference w:id="62"/>
      </w:r>
      <w:r>
        <w:rPr>
          <w:rFonts w:ascii="Times New Roman" w:hAnsi="Times New Roman" w:cs="Times New Roman"/>
          <w:sz w:val="24"/>
          <w:szCs w:val="24"/>
        </w:rPr>
        <w:t xml:space="preserve"> Entre ellos, destaca por su claridad, el mensaje de Castells cuando indica que </w:t>
      </w:r>
      <w:r>
        <w:rPr>
          <w:rFonts w:ascii="Times New Roman" w:hAnsi="Times New Roman" w:cs="Times New Roman"/>
          <w:i/>
          <w:sz w:val="24"/>
          <w:szCs w:val="24"/>
        </w:rPr>
        <w:t xml:space="preserve">“las instituciones y organizaciones de la sociedad civil, que se construyeron en torno al estado democrático y al contrato social entre capital y trabajo, se han convertido, en general, en caparazones vacíos, cada vez menos capaces de relacionarse con las vidas y los valores de la gente en la mayoría de las sociedades”. </w:t>
      </w:r>
      <w:r>
        <w:rPr>
          <w:rStyle w:val="Refdenotaalpie"/>
          <w:rFonts w:ascii="Times New Roman" w:hAnsi="Times New Roman" w:cs="Times New Roman"/>
          <w:i/>
          <w:sz w:val="24"/>
          <w:szCs w:val="24"/>
        </w:rPr>
        <w:footnoteReference w:id="63"/>
      </w:r>
    </w:p>
    <w:p w:rsidR="00957FEC" w:rsidRDefault="00957FEC" w:rsidP="00957FEC">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En el caso particular de los sindicatos, aparte de la erosión que ya les causan los cambios económicos y culturales producto de la época histórica en que vivimos habría que agregar el ataque constante de que son objeto por quienes los adversan socialmente, incluida la gran prensa, y su incapacidad para representar lo que algunos colectivos que no forman parte de los grupos sociales que tradicionalmente se han agrupado alrededor de los sindicatos. Me refiero a colectivos como el de los jóvenes, sobre todo de jóvenes desocupados, de las mujeres, de los trabajadores migrantes, etc.</w:t>
      </w:r>
    </w:p>
    <w:p w:rsidR="00957FEC" w:rsidRDefault="00957FEC" w:rsidP="00957FEC">
      <w:pPr>
        <w:spacing w:line="360" w:lineRule="auto"/>
        <w:jc w:val="both"/>
        <w:rPr>
          <w:rFonts w:ascii="Times New Roman" w:hAnsi="Times New Roman" w:cs="Times New Roman"/>
          <w:sz w:val="24"/>
          <w:szCs w:val="24"/>
        </w:rPr>
      </w:pPr>
      <w:r>
        <w:rPr>
          <w:rFonts w:ascii="Times New Roman" w:hAnsi="Times New Roman" w:cs="Times New Roman"/>
          <w:sz w:val="24"/>
          <w:szCs w:val="24"/>
        </w:rPr>
        <w:t>Por las razones que se vienen exponiendo en este trabajo, y fundamentalmente por la representación institucional que siguen detentando los sindicatos y su capacidad para transformar en demandas políticas los intereses legítimos de los trabajadores, no pensamos que el ocaso del movimiento organizado de los trabajadores haya llegado a un punto de no retorno. No puede olvidarse además, que los sindicatos siguen siendo quienes mejor articulan la autonomía individual con la autonomía colectiva. En este sentido, es bueno recordar que la libertad en las sociedades contemporáneas está compuesta de autonomía individual y de autonomía colectiva, siendo los derechos colectivos de los trabajadores una parte muy importante de esta última.</w:t>
      </w:r>
      <w:r>
        <w:rPr>
          <w:rStyle w:val="Refdenotaalpie"/>
          <w:rFonts w:ascii="Times New Roman" w:hAnsi="Times New Roman" w:cs="Times New Roman"/>
          <w:sz w:val="24"/>
          <w:szCs w:val="24"/>
        </w:rPr>
        <w:footnoteReference w:id="64"/>
      </w:r>
      <w:r>
        <w:rPr>
          <w:rFonts w:ascii="Times New Roman" w:hAnsi="Times New Roman" w:cs="Times New Roman"/>
          <w:sz w:val="24"/>
          <w:szCs w:val="24"/>
        </w:rPr>
        <w:t xml:space="preserve"> </w:t>
      </w:r>
    </w:p>
    <w:p w:rsidR="00957FEC" w:rsidRDefault="00957FEC" w:rsidP="00957FE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Compartimos, no obstante, lo expresado en el Informe Supiot cuando los expertos que trabajaron en dicho documento promueven un concepto de ciudadanía social, como síntesis de la necesidad de una redistribución del Derecho Laboral y social en general. Se trata, como lo pregonan dichos expertos, de conectar los derechos sociales con el concepto de integración social, y no solamente con el trabajo, pues en el fondo lo que se busca es aumentar la participación. </w:t>
      </w:r>
      <w:r>
        <w:rPr>
          <w:rStyle w:val="Refdenotaalpie"/>
          <w:rFonts w:ascii="Times New Roman" w:hAnsi="Times New Roman" w:cs="Times New Roman"/>
          <w:sz w:val="24"/>
          <w:szCs w:val="24"/>
        </w:rPr>
        <w:footnoteReference w:id="65"/>
      </w:r>
      <w:r>
        <w:rPr>
          <w:rFonts w:ascii="Times New Roman" w:hAnsi="Times New Roman" w:cs="Times New Roman"/>
          <w:sz w:val="24"/>
          <w:szCs w:val="24"/>
        </w:rPr>
        <w:t xml:space="preserve"> Pero si lo que se requiere es un concepto amplio de ciudadanía social, no dependiente en exclusiva de los centros de trabajo y de las relaciones laborales, estamos hablando de una nueva solidaridad social, donde los sindicatos pueden intentar asumir la diversidad dentro de las relaciones entre el trabajo y el capital, como lo señala Vargas Avila </w:t>
      </w:r>
      <w:r>
        <w:rPr>
          <w:rStyle w:val="Refdenotaalpie"/>
          <w:rFonts w:ascii="Times New Roman" w:hAnsi="Times New Roman" w:cs="Times New Roman"/>
          <w:sz w:val="24"/>
          <w:szCs w:val="24"/>
        </w:rPr>
        <w:lastRenderedPageBreak/>
        <w:footnoteReference w:id="66"/>
      </w:r>
      <w:r>
        <w:rPr>
          <w:rFonts w:ascii="Times New Roman" w:hAnsi="Times New Roman" w:cs="Times New Roman"/>
          <w:sz w:val="24"/>
          <w:szCs w:val="24"/>
        </w:rPr>
        <w:t>, aunque  en vista de la debilidad o “desvanecimiento” del movimiento de los trabajadores en este momento histórico específico, necesitan de una política de alianzas muy amplia, con otras organizaciones interesadas en promover nuevos contratos sociales y, por supuesto, la justicia social. Nos referimos a una política de alianzas con organizaciones y sectores sociales que no están en los centros de trabajo ni tienen una dependencia ideológica ni organizativa del mundo de las relaciones laborales. La solidaridad de que se habla, como superación de la contradicción capital y trabajo (que no por ello desaparece), ya no comprende solamente a los trabajadores asalariados, sino también a consumidores, desempleados, ambientalistas, organizaciones que levantan las banderas de género, etc.</w:t>
      </w:r>
    </w:p>
    <w:p w:rsidR="00957FEC" w:rsidRDefault="00957FEC" w:rsidP="00957FE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Hay algunos autores que ya se han referido a esta nueva solidaridad entre sindicatos y otros tipos de organización, como forma de aprovechar mejor las virtudes y ventajas de cada cual. Así, Eberhard Schmidt alienta las alianzas de sindicatos con organizaciones no gubernamentales (NGOs por sus siglas en inglés y ONGs, por sus siglas en español), especialmente con aquellas que están luchando por obtener los mismos objetivos. </w:t>
      </w:r>
      <w:r>
        <w:rPr>
          <w:rStyle w:val="Refdenotaalpie"/>
          <w:rFonts w:ascii="Times New Roman" w:hAnsi="Times New Roman" w:cs="Times New Roman"/>
          <w:sz w:val="24"/>
          <w:szCs w:val="24"/>
        </w:rPr>
        <w:footnoteReference w:id="67"/>
      </w:r>
      <w:r>
        <w:rPr>
          <w:rFonts w:ascii="Times New Roman" w:hAnsi="Times New Roman" w:cs="Times New Roman"/>
          <w:sz w:val="24"/>
          <w:szCs w:val="24"/>
        </w:rPr>
        <w:t xml:space="preserve">  En este sentido, señala el autor indicado que las organizaciones no gubernamentales se han convertido en los aliados naturales de los sindicatos en muchos asuntos, ya en los conflictos con empresas transnacionales o a nivel de Comisiones de la Organización de Naciones Unidas y multilaterales de diálogo. No obstante, indica Schmitd, debe reconocerse que los sindicatos son los expertos del mundo del trabajo y las ONGs, normalmente tienden a ignorar la importancia de las organizaciones sindicales locales. Por tanto, estas últimas deben aprender que la participación de los sindicatos en el movimiento laborar local o regional, es decisivo en el monitoreo de los códigos de conducta. </w:t>
      </w:r>
      <w:r>
        <w:rPr>
          <w:rStyle w:val="Refdenotaalpie"/>
          <w:rFonts w:ascii="Times New Roman" w:hAnsi="Times New Roman" w:cs="Times New Roman"/>
          <w:sz w:val="24"/>
          <w:szCs w:val="24"/>
        </w:rPr>
        <w:footnoteReference w:id="68"/>
      </w:r>
      <w:r>
        <w:rPr>
          <w:rFonts w:ascii="Times New Roman" w:hAnsi="Times New Roman" w:cs="Times New Roman"/>
          <w:sz w:val="24"/>
          <w:szCs w:val="24"/>
        </w:rPr>
        <w:t xml:space="preserve"> Agregaríamos nosotros que si la mejor inspección del trabajo en los centros laborales la realizan los sindicatos, antes que los funcionarios públicos encargados de esta labor, tratándose del cumplimiento de los llamados </w:t>
      </w:r>
      <w:r>
        <w:rPr>
          <w:rFonts w:ascii="Times New Roman" w:hAnsi="Times New Roman" w:cs="Times New Roman"/>
          <w:sz w:val="24"/>
          <w:szCs w:val="24"/>
        </w:rPr>
        <w:lastRenderedPageBreak/>
        <w:t xml:space="preserve">códigos de conducta </w:t>
      </w:r>
      <w:r>
        <w:rPr>
          <w:rStyle w:val="Refdenotaalpie"/>
          <w:rFonts w:ascii="Times New Roman" w:hAnsi="Times New Roman" w:cs="Times New Roman"/>
          <w:sz w:val="24"/>
          <w:szCs w:val="24"/>
        </w:rPr>
        <w:footnoteReference w:id="69"/>
      </w:r>
      <w:r>
        <w:rPr>
          <w:rFonts w:ascii="Times New Roman" w:hAnsi="Times New Roman" w:cs="Times New Roman"/>
          <w:sz w:val="24"/>
          <w:szCs w:val="24"/>
        </w:rPr>
        <w:t xml:space="preserve">, los sindicatos son quienes mejor pueden velar por su cumplimiento, sobre todo si se ha dado la oportunidad a estas organizaciones de participar en la elaboración de los mismos. </w:t>
      </w:r>
    </w:p>
    <w:p w:rsidR="00957FEC" w:rsidRDefault="00957FEC" w:rsidP="00957FEC">
      <w:pPr>
        <w:spacing w:line="360" w:lineRule="auto"/>
        <w:jc w:val="both"/>
        <w:rPr>
          <w:rFonts w:ascii="Times New Roman" w:hAnsi="Times New Roman" w:cs="Times New Roman"/>
          <w:i/>
          <w:sz w:val="24"/>
          <w:szCs w:val="24"/>
        </w:rPr>
      </w:pPr>
      <w:r>
        <w:rPr>
          <w:rFonts w:ascii="Times New Roman" w:hAnsi="Times New Roman" w:cs="Times New Roman"/>
          <w:sz w:val="24"/>
          <w:szCs w:val="24"/>
        </w:rPr>
        <w:t xml:space="preserve">Otro autores que se refieren a la necesaria alianza entre sindicatos y otras organizaciones de la sociedad civil son Lee Pegler y Peter Knorringa, quienes señalan que en este siglo XXI la realidad del mundo del trabajo pareciera necesitar un mayor envolvimiento de los sindicatos con la gente afectada por la informalidad, por la pobreza y por la inequidad de género. </w:t>
      </w:r>
      <w:r>
        <w:rPr>
          <w:rStyle w:val="Refdenotaalpie"/>
          <w:rFonts w:ascii="Times New Roman" w:hAnsi="Times New Roman" w:cs="Times New Roman"/>
          <w:sz w:val="24"/>
          <w:szCs w:val="24"/>
        </w:rPr>
        <w:footnoteReference w:id="70"/>
      </w:r>
      <w:r>
        <w:rPr>
          <w:rFonts w:ascii="Times New Roman" w:hAnsi="Times New Roman" w:cs="Times New Roman"/>
          <w:sz w:val="24"/>
          <w:szCs w:val="24"/>
        </w:rPr>
        <w:t xml:space="preserve"> De allí que Anibel Ferus-Comelo, nos indique que </w:t>
      </w:r>
      <w:r>
        <w:rPr>
          <w:rFonts w:ascii="Times New Roman" w:hAnsi="Times New Roman" w:cs="Times New Roman"/>
          <w:i/>
          <w:sz w:val="24"/>
          <w:szCs w:val="24"/>
        </w:rPr>
        <w:t>“el concepto de movimiento laboral requiere extenderse más allá de los sindicatos para incluir organizaciones alternativas cuyas referencias y actividades los conviertan en poderosos aliados en la lucha por justicia social y económica”.</w:t>
      </w:r>
      <w:r>
        <w:rPr>
          <w:rStyle w:val="Refdenotaalpie"/>
          <w:rFonts w:ascii="Times New Roman" w:hAnsi="Times New Roman" w:cs="Times New Roman"/>
          <w:i/>
          <w:sz w:val="24"/>
          <w:szCs w:val="24"/>
        </w:rPr>
        <w:footnoteReference w:id="71"/>
      </w:r>
    </w:p>
    <w:p w:rsidR="00957FEC" w:rsidRPr="00636E22" w:rsidRDefault="00957FEC" w:rsidP="00957FEC">
      <w:pPr>
        <w:spacing w:line="360" w:lineRule="auto"/>
        <w:jc w:val="both"/>
        <w:rPr>
          <w:rFonts w:ascii="Times New Roman" w:hAnsi="Times New Roman" w:cs="Times New Roman"/>
          <w:b/>
          <w:sz w:val="24"/>
          <w:szCs w:val="24"/>
        </w:rPr>
      </w:pPr>
      <w:r>
        <w:rPr>
          <w:rFonts w:ascii="Times New Roman" w:hAnsi="Times New Roman" w:cs="Times New Roman"/>
          <w:sz w:val="24"/>
          <w:szCs w:val="24"/>
        </w:rPr>
        <w:t>Si como sostienen algunas teorías económicas, las personas valen más, dentro del sistema capitalista, como consumidores que como productores, una de las alianzas más importantes que deberán emprender los sindicatos será con las organizaciones de productores, sea que ellos mismos las constituyan o que se conformen de manera independiente.</w:t>
      </w:r>
      <w:r>
        <w:rPr>
          <w:rStyle w:val="Refdenotaalpie"/>
          <w:rFonts w:ascii="Times New Roman" w:hAnsi="Times New Roman" w:cs="Times New Roman"/>
          <w:sz w:val="24"/>
          <w:szCs w:val="24"/>
        </w:rPr>
        <w:footnoteReference w:id="72"/>
      </w:r>
      <w:r>
        <w:rPr>
          <w:rFonts w:ascii="Times New Roman" w:hAnsi="Times New Roman" w:cs="Times New Roman"/>
          <w:sz w:val="24"/>
          <w:szCs w:val="24"/>
        </w:rPr>
        <w:t xml:space="preserve"> Desgraciadamente las organizaciones de consumidores tienden a ver en los sindicatos, sobre todo en el sector público, una especie de culpables de que los precios suban, bajo la falsa premisa de que los incrementos salariales necesariamente generan inflación o encarecen los servicios. Lo que quizás no se comprende es que las organizaciones sindicales pueden ser también poderosos aliados de los consumidores (al fin y al cabo los trabajadores son también </w:t>
      </w:r>
      <w:r>
        <w:rPr>
          <w:rFonts w:ascii="Times New Roman" w:hAnsi="Times New Roman" w:cs="Times New Roman"/>
          <w:sz w:val="24"/>
          <w:szCs w:val="24"/>
        </w:rPr>
        <w:lastRenderedPageBreak/>
        <w:t>consumidores y usuarios de los servicios públicos), en la lucha por obtener precios gustos y una oferta que garantice mejor calidad de vida para la población.</w:t>
      </w:r>
      <w:r w:rsidRPr="00636E22">
        <w:rPr>
          <w:rFonts w:ascii="Times New Roman" w:hAnsi="Times New Roman" w:cs="Times New Roman"/>
          <w:b/>
          <w:sz w:val="24"/>
          <w:szCs w:val="24"/>
        </w:rPr>
        <w:t xml:space="preserve"> </w:t>
      </w:r>
    </w:p>
    <w:p w:rsidR="00957FEC" w:rsidRPr="00636E22" w:rsidRDefault="00957FEC" w:rsidP="00957FEC">
      <w:pPr>
        <w:spacing w:line="360" w:lineRule="auto"/>
        <w:jc w:val="both"/>
        <w:rPr>
          <w:rFonts w:ascii="Times New Roman" w:hAnsi="Times New Roman" w:cs="Times New Roman"/>
          <w:b/>
          <w:sz w:val="24"/>
          <w:szCs w:val="24"/>
        </w:rPr>
      </w:pPr>
    </w:p>
    <w:p w:rsidR="00957FEC" w:rsidRPr="00636E22" w:rsidRDefault="00957FEC" w:rsidP="00957FEC">
      <w:pPr>
        <w:spacing w:line="360" w:lineRule="auto"/>
        <w:jc w:val="both"/>
        <w:rPr>
          <w:rFonts w:ascii="Times New Roman" w:hAnsi="Times New Roman" w:cs="Times New Roman"/>
          <w:b/>
          <w:sz w:val="24"/>
          <w:szCs w:val="24"/>
        </w:rPr>
      </w:pPr>
      <w:r>
        <w:rPr>
          <w:rFonts w:ascii="Times New Roman" w:hAnsi="Times New Roman" w:cs="Times New Roman"/>
          <w:b/>
          <w:sz w:val="24"/>
          <w:szCs w:val="24"/>
        </w:rPr>
        <w:t>EPÍ</w:t>
      </w:r>
      <w:r w:rsidRPr="00636E22">
        <w:rPr>
          <w:rFonts w:ascii="Times New Roman" w:hAnsi="Times New Roman" w:cs="Times New Roman"/>
          <w:b/>
          <w:sz w:val="24"/>
          <w:szCs w:val="24"/>
        </w:rPr>
        <w:t>LOGO</w:t>
      </w:r>
    </w:p>
    <w:p w:rsidR="00957FEC" w:rsidRDefault="00957FEC" w:rsidP="00957FE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Si partimos de que la articulación entre derechos individuales y derechos colectivos es lo que permite hacer realidad los principios y las instituciones del Estado Social de Derecho; y si creemos que la representación de los sindicatos, y su capacidad de convertir derechos individuales en colectivos de los trabajadores no ha sido superada por otras formas de organización social, habrá de pensarse en mantener y fortalecer el rol que ellos cumplen en nuestras sociedades. Las asechanzas que penden sobre las organizaciones sindicales y que amenazan con su desaparición total, dentro un de mundo fragmentado y signado por el individualismo y el egoísmo, no son poca cosa. Son parte de los peligros que afronta hoy nuestra forma republicana de vida. </w:t>
      </w:r>
    </w:p>
    <w:p w:rsidR="00957FEC" w:rsidRDefault="00957FEC" w:rsidP="00957FE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No queda otra alternativa a las organizaciones sindicales y a los teóricos del Estado Social de Derecho que “huir hacia adelante”, y transformar las debilidades en fortalezas. Estamos convencidos sin embargo que ello no será posible desde banderas de división y sectarismos dentro del movimiento de los trabajadores en general. Por ello, para los próximos años será fundamental una política de alianzas creativa y basada en un nuevo concepto de la solidaridad social, privilegiando la integración y la participación, por encima de los valores negativos como el caudillismo, el economicismo y una mal entendida conciencia gremial, hoy superada por un mundo que ya no puede encasillarse en los viejos moldes del pasado. La época histórica en que nos adentramos exige pues un nuevo sindicalismo.  </w:t>
      </w:r>
    </w:p>
    <w:p w:rsidR="00957FEC" w:rsidRPr="007F7A77" w:rsidRDefault="00957FEC" w:rsidP="00957FE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San José, enero de 2017. </w:t>
      </w:r>
    </w:p>
    <w:p w:rsidR="00957FEC" w:rsidRDefault="00957FEC" w:rsidP="00957FEC"/>
    <w:p w:rsidR="00957FEC" w:rsidRDefault="00957FEC" w:rsidP="00957FEC">
      <w:pPr>
        <w:pStyle w:val="Textonotapie"/>
        <w:rPr>
          <w:b/>
        </w:rPr>
      </w:pPr>
    </w:p>
    <w:p w:rsidR="00957FEC" w:rsidRDefault="00957FEC" w:rsidP="00957FEC">
      <w:pPr>
        <w:pStyle w:val="Textonotapie"/>
        <w:rPr>
          <w:b/>
        </w:rPr>
      </w:pPr>
    </w:p>
    <w:p w:rsidR="00957FEC" w:rsidRDefault="00957FEC" w:rsidP="00957FEC">
      <w:pPr>
        <w:pStyle w:val="Textonotapie"/>
        <w:rPr>
          <w:b/>
        </w:rPr>
      </w:pPr>
    </w:p>
    <w:p w:rsidR="00957FEC" w:rsidRDefault="00957FEC" w:rsidP="00957FEC">
      <w:pPr>
        <w:pStyle w:val="Textonotapie"/>
        <w:rPr>
          <w:b/>
        </w:rPr>
      </w:pPr>
    </w:p>
    <w:p w:rsidR="00957FEC" w:rsidRDefault="00957FEC" w:rsidP="00957FEC">
      <w:pPr>
        <w:pStyle w:val="Textonotapie"/>
        <w:rPr>
          <w:b/>
        </w:rPr>
      </w:pPr>
    </w:p>
    <w:p w:rsidR="00957FEC" w:rsidRDefault="00957FEC" w:rsidP="00957FEC">
      <w:pPr>
        <w:pStyle w:val="Textonotapie"/>
        <w:rPr>
          <w:b/>
        </w:rPr>
      </w:pPr>
    </w:p>
    <w:p w:rsidR="00957FEC" w:rsidRDefault="00957FEC" w:rsidP="00957FEC">
      <w:pPr>
        <w:pStyle w:val="Textonotapie"/>
        <w:rPr>
          <w:b/>
        </w:rPr>
      </w:pPr>
    </w:p>
    <w:p w:rsidR="00957FEC" w:rsidRDefault="00957FEC" w:rsidP="00957FEC">
      <w:pPr>
        <w:pStyle w:val="Textonotapie"/>
        <w:rPr>
          <w:b/>
        </w:rPr>
      </w:pPr>
    </w:p>
    <w:p w:rsidR="00957FEC" w:rsidRPr="00CB1FF3" w:rsidRDefault="00957FEC" w:rsidP="00957FEC">
      <w:pPr>
        <w:pStyle w:val="Textonotapie"/>
        <w:jc w:val="both"/>
        <w:rPr>
          <w:rFonts w:ascii="Times New Roman" w:hAnsi="Times New Roman" w:cs="Times New Roman"/>
          <w:b/>
          <w:sz w:val="24"/>
          <w:szCs w:val="24"/>
        </w:rPr>
      </w:pPr>
      <w:r w:rsidRPr="00CB1FF3">
        <w:rPr>
          <w:rFonts w:ascii="Times New Roman" w:hAnsi="Times New Roman" w:cs="Times New Roman"/>
          <w:b/>
          <w:sz w:val="24"/>
          <w:szCs w:val="24"/>
        </w:rPr>
        <w:lastRenderedPageBreak/>
        <w:t>BIBLIOGRAFÍA</w:t>
      </w:r>
    </w:p>
    <w:p w:rsidR="00957FEC" w:rsidRPr="00CB1FF3" w:rsidRDefault="00957FEC" w:rsidP="00957FEC">
      <w:pPr>
        <w:pStyle w:val="Textonotapie"/>
        <w:jc w:val="both"/>
        <w:rPr>
          <w:rFonts w:ascii="Times New Roman" w:hAnsi="Times New Roman" w:cs="Times New Roman"/>
          <w:sz w:val="24"/>
          <w:szCs w:val="24"/>
        </w:rPr>
      </w:pPr>
    </w:p>
    <w:p w:rsidR="00957FEC" w:rsidRPr="00CB1FF3" w:rsidRDefault="00957FEC" w:rsidP="00957FEC">
      <w:pPr>
        <w:pStyle w:val="Textonotapie"/>
        <w:jc w:val="both"/>
        <w:rPr>
          <w:rFonts w:ascii="Times New Roman" w:hAnsi="Times New Roman" w:cs="Times New Roman"/>
          <w:sz w:val="24"/>
          <w:szCs w:val="24"/>
        </w:rPr>
      </w:pPr>
      <w:r w:rsidRPr="00CB1FF3">
        <w:rPr>
          <w:rFonts w:ascii="Times New Roman" w:hAnsi="Times New Roman" w:cs="Times New Roman"/>
          <w:sz w:val="24"/>
          <w:szCs w:val="24"/>
        </w:rPr>
        <w:t xml:space="preserve">ACKERMAN, Mario.  </w:t>
      </w:r>
      <w:r w:rsidRPr="00CB1FF3">
        <w:rPr>
          <w:rFonts w:ascii="Times New Roman" w:hAnsi="Times New Roman" w:cs="Times New Roman"/>
          <w:i/>
          <w:sz w:val="24"/>
          <w:szCs w:val="24"/>
        </w:rPr>
        <w:t>“El Constitucionalismo Social en Latinoamérica”,</w:t>
      </w:r>
      <w:r w:rsidRPr="00CB1FF3">
        <w:rPr>
          <w:rFonts w:ascii="Times New Roman" w:hAnsi="Times New Roman" w:cs="Times New Roman"/>
          <w:sz w:val="24"/>
          <w:szCs w:val="24"/>
        </w:rPr>
        <w:t xml:space="preserve"> Revista Latinoamericana de Derecho Social, No. 1, julio-diciembre de 2005.</w:t>
      </w:r>
    </w:p>
    <w:p w:rsidR="00957FEC" w:rsidRPr="00CB1FF3" w:rsidRDefault="00957FEC" w:rsidP="00957FEC">
      <w:pPr>
        <w:pStyle w:val="Textonotapie"/>
        <w:jc w:val="both"/>
        <w:rPr>
          <w:rFonts w:ascii="Times New Roman" w:hAnsi="Times New Roman" w:cs="Times New Roman"/>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sidRPr="00CB1FF3">
        <w:rPr>
          <w:rFonts w:ascii="Times New Roman" w:hAnsi="Times New Roman" w:cs="Times New Roman"/>
          <w:sz w:val="24"/>
          <w:szCs w:val="24"/>
        </w:rPr>
        <w:t xml:space="preserve">ALVAREZ Yaguez, Jorge. </w:t>
      </w:r>
      <w:r w:rsidRPr="00CB1FF3">
        <w:rPr>
          <w:rFonts w:ascii="Times New Roman" w:hAnsi="Times New Roman" w:cs="Times New Roman"/>
          <w:i/>
          <w:sz w:val="24"/>
          <w:szCs w:val="24"/>
        </w:rPr>
        <w:t>“Hegemonía Gramsciana y Hegemonía Populista”,</w:t>
      </w:r>
      <w:r w:rsidRPr="00CB1FF3">
        <w:rPr>
          <w:rFonts w:ascii="Times New Roman" w:hAnsi="Times New Roman" w:cs="Times New Roman"/>
          <w:sz w:val="24"/>
          <w:szCs w:val="24"/>
        </w:rPr>
        <w:t xml:space="preserve"> Revista “Claves de Razón Práctica”, No. 248, septiembre-octubre de 2016.</w:t>
      </w:r>
    </w:p>
    <w:p w:rsidR="00957FEC" w:rsidRPr="00CB1FF3" w:rsidRDefault="00957FEC" w:rsidP="00957FEC">
      <w:pPr>
        <w:spacing w:after="0" w:line="240" w:lineRule="auto"/>
        <w:jc w:val="both"/>
        <w:rPr>
          <w:rFonts w:ascii="Times New Roman" w:hAnsi="Times New Roman" w:cs="Times New Roman"/>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sidRPr="00CB1FF3">
        <w:rPr>
          <w:rFonts w:ascii="Times New Roman" w:hAnsi="Times New Roman" w:cs="Times New Roman"/>
          <w:sz w:val="24"/>
          <w:szCs w:val="24"/>
        </w:rPr>
        <w:t>Asamblea Legislativa de Costa Rica. Constitución Política de Costa Rica de 1871.</w:t>
      </w:r>
    </w:p>
    <w:p w:rsidR="00957FEC" w:rsidRPr="00CB1FF3" w:rsidRDefault="00957FEC" w:rsidP="00957FEC">
      <w:pPr>
        <w:spacing w:after="0" w:line="240" w:lineRule="auto"/>
        <w:jc w:val="both"/>
        <w:rPr>
          <w:rFonts w:ascii="Times New Roman" w:hAnsi="Times New Roman" w:cs="Times New Roman"/>
          <w:sz w:val="24"/>
          <w:szCs w:val="24"/>
        </w:rPr>
      </w:pPr>
    </w:p>
    <w:p w:rsidR="00957FEC" w:rsidRPr="00A52BC5" w:rsidRDefault="00957FEC" w:rsidP="00957FEC">
      <w:pPr>
        <w:spacing w:after="0" w:line="240" w:lineRule="auto"/>
        <w:jc w:val="both"/>
        <w:rPr>
          <w:rFonts w:ascii="Times New Roman" w:hAnsi="Times New Roman" w:cs="Times New Roman"/>
          <w:sz w:val="24"/>
          <w:szCs w:val="24"/>
        </w:rPr>
      </w:pPr>
      <w:r w:rsidRPr="00CB1FF3">
        <w:rPr>
          <w:rFonts w:ascii="Times New Roman" w:hAnsi="Times New Roman" w:cs="Times New Roman"/>
          <w:sz w:val="24"/>
          <w:szCs w:val="24"/>
        </w:rPr>
        <w:t xml:space="preserve">Asamblea Legislativa de Costa Rica. Constitución Política de Costa Rica de </w:t>
      </w:r>
      <w:r>
        <w:rPr>
          <w:rFonts w:ascii="Times New Roman" w:hAnsi="Times New Roman" w:cs="Times New Roman"/>
          <w:sz w:val="24"/>
          <w:szCs w:val="24"/>
        </w:rPr>
        <w:t>1949</w:t>
      </w:r>
    </w:p>
    <w:p w:rsidR="00957FEC" w:rsidRPr="00CB1FF3" w:rsidRDefault="00957FEC" w:rsidP="00957FEC">
      <w:pPr>
        <w:spacing w:after="0" w:line="240" w:lineRule="auto"/>
        <w:jc w:val="both"/>
        <w:rPr>
          <w:rFonts w:ascii="Times New Roman" w:hAnsi="Times New Roman" w:cs="Times New Roman"/>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BAUMAN, </w:t>
      </w:r>
      <w:r w:rsidRPr="00CB1FF3">
        <w:rPr>
          <w:rFonts w:ascii="Times New Roman" w:hAnsi="Times New Roman" w:cs="Times New Roman"/>
          <w:sz w:val="24"/>
          <w:szCs w:val="24"/>
        </w:rPr>
        <w:t xml:space="preserve">Zygmunt. </w:t>
      </w:r>
      <w:r w:rsidRPr="00CB1FF3">
        <w:rPr>
          <w:rFonts w:ascii="Times New Roman" w:hAnsi="Times New Roman" w:cs="Times New Roman"/>
          <w:i/>
          <w:sz w:val="24"/>
          <w:szCs w:val="24"/>
        </w:rPr>
        <w:t xml:space="preserve">“Modernidad Líquida”, </w:t>
      </w:r>
      <w:r w:rsidRPr="00CB1FF3">
        <w:rPr>
          <w:rFonts w:ascii="Times New Roman" w:hAnsi="Times New Roman" w:cs="Times New Roman"/>
          <w:sz w:val="24"/>
          <w:szCs w:val="24"/>
        </w:rPr>
        <w:t>Editorial Fondo de Cultura Económica, México, 2003.</w:t>
      </w:r>
    </w:p>
    <w:p w:rsidR="00957FEC" w:rsidRDefault="00957FEC" w:rsidP="00957FEC">
      <w:pPr>
        <w:spacing w:after="0" w:line="240" w:lineRule="auto"/>
        <w:jc w:val="both"/>
        <w:rPr>
          <w:rFonts w:ascii="Times New Roman" w:hAnsi="Times New Roman" w:cs="Times New Roman"/>
          <w:color w:val="FF0000"/>
          <w:sz w:val="24"/>
          <w:szCs w:val="24"/>
        </w:rPr>
      </w:pPr>
    </w:p>
    <w:p w:rsidR="00957FEC" w:rsidRPr="000B2103" w:rsidRDefault="00957FEC" w:rsidP="00957FEC">
      <w:pPr>
        <w:spacing w:after="0" w:line="240" w:lineRule="auto"/>
        <w:jc w:val="both"/>
        <w:rPr>
          <w:rFonts w:ascii="Times New Roman" w:hAnsi="Times New Roman" w:cs="Times New Roman"/>
          <w:sz w:val="24"/>
          <w:szCs w:val="24"/>
        </w:rPr>
      </w:pPr>
      <w:r w:rsidRPr="000B2103">
        <w:rPr>
          <w:rFonts w:ascii="Times New Roman" w:hAnsi="Times New Roman" w:cs="Times New Roman"/>
          <w:sz w:val="24"/>
          <w:szCs w:val="24"/>
        </w:rPr>
        <w:t xml:space="preserve">BOLAÑOS Céspedes, Fernando. </w:t>
      </w:r>
      <w:r w:rsidRPr="000B2103">
        <w:rPr>
          <w:rFonts w:ascii="Times New Roman" w:hAnsi="Times New Roman" w:cs="Times New Roman"/>
          <w:i/>
          <w:sz w:val="24"/>
          <w:szCs w:val="24"/>
        </w:rPr>
        <w:t>“Estado de situación de la Huelga en Centro América y República Dominicana”</w:t>
      </w:r>
      <w:r w:rsidRPr="000B2103">
        <w:rPr>
          <w:rFonts w:ascii="Times New Roman" w:hAnsi="Times New Roman" w:cs="Times New Roman"/>
          <w:sz w:val="24"/>
          <w:szCs w:val="24"/>
        </w:rPr>
        <w:t>, (Investigación realizada bajo el auspicio de la Organiza</w:t>
      </w:r>
      <w:r>
        <w:rPr>
          <w:rFonts w:ascii="Times New Roman" w:hAnsi="Times New Roman" w:cs="Times New Roman"/>
          <w:sz w:val="24"/>
          <w:szCs w:val="24"/>
        </w:rPr>
        <w:t xml:space="preserve">ción Internacional del Trabajo </w:t>
      </w:r>
      <w:r w:rsidRPr="000B2103">
        <w:rPr>
          <w:rFonts w:ascii="Times New Roman" w:hAnsi="Times New Roman" w:cs="Times New Roman"/>
          <w:sz w:val="24"/>
          <w:szCs w:val="24"/>
        </w:rPr>
        <w:t>en el año 2012 (docu</w:t>
      </w:r>
      <w:r>
        <w:rPr>
          <w:rFonts w:ascii="Times New Roman" w:hAnsi="Times New Roman" w:cs="Times New Roman"/>
          <w:sz w:val="24"/>
          <w:szCs w:val="24"/>
        </w:rPr>
        <w:t>mento en proceso de publicación).</w:t>
      </w:r>
    </w:p>
    <w:p w:rsidR="00957FEC" w:rsidRPr="00CB1FF3" w:rsidRDefault="00957FEC" w:rsidP="00957FEC">
      <w:pPr>
        <w:spacing w:after="0" w:line="240" w:lineRule="auto"/>
        <w:jc w:val="both"/>
        <w:rPr>
          <w:rFonts w:ascii="Times New Roman" w:hAnsi="Times New Roman" w:cs="Times New Roman"/>
          <w:color w:val="FF0000"/>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sidRPr="00CB1FF3">
        <w:rPr>
          <w:rFonts w:ascii="Times New Roman" w:hAnsi="Times New Roman" w:cs="Times New Roman"/>
          <w:sz w:val="24"/>
          <w:szCs w:val="24"/>
        </w:rPr>
        <w:t>CAEN, Lyon. Congreso Europeo de Derecho del Trabajo y de la Seguridad Civil, celebrado en Sevilla, España, en septiembre del año 2011.</w:t>
      </w:r>
    </w:p>
    <w:p w:rsidR="00957FEC" w:rsidRPr="00CB1FF3" w:rsidRDefault="00957FEC" w:rsidP="00957FEC">
      <w:pPr>
        <w:spacing w:after="0" w:line="240" w:lineRule="auto"/>
        <w:jc w:val="both"/>
        <w:rPr>
          <w:rFonts w:ascii="Times New Roman" w:hAnsi="Times New Roman" w:cs="Times New Roman"/>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sidRPr="00CB1FF3">
        <w:rPr>
          <w:rFonts w:ascii="Times New Roman" w:hAnsi="Times New Roman" w:cs="Times New Roman"/>
          <w:sz w:val="24"/>
          <w:szCs w:val="24"/>
        </w:rPr>
        <w:t xml:space="preserve">CASTELLS, Manuel. </w:t>
      </w:r>
      <w:r w:rsidRPr="00CB1FF3">
        <w:rPr>
          <w:rFonts w:ascii="Times New Roman" w:hAnsi="Times New Roman" w:cs="Times New Roman"/>
          <w:i/>
          <w:sz w:val="24"/>
          <w:szCs w:val="24"/>
        </w:rPr>
        <w:t>“La Era de la Información: economía sociedad y cultura”</w:t>
      </w:r>
      <w:r w:rsidRPr="00CB1FF3">
        <w:rPr>
          <w:rFonts w:ascii="Times New Roman" w:hAnsi="Times New Roman" w:cs="Times New Roman"/>
          <w:sz w:val="24"/>
          <w:szCs w:val="24"/>
        </w:rPr>
        <w:t>, Volumen 2 El Poder de la Identidad, Alianza Editorial, Madrid, 2001, Quinta reimpresión.</w:t>
      </w:r>
    </w:p>
    <w:p w:rsidR="00957FEC" w:rsidRPr="00CB1FF3" w:rsidRDefault="00957FEC" w:rsidP="00957FEC">
      <w:pPr>
        <w:spacing w:after="0" w:line="240" w:lineRule="auto"/>
        <w:jc w:val="both"/>
        <w:rPr>
          <w:rFonts w:ascii="Times New Roman" w:hAnsi="Times New Roman" w:cs="Times New Roman"/>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sidRPr="00CB1FF3">
        <w:rPr>
          <w:rFonts w:ascii="Times New Roman" w:hAnsi="Times New Roman" w:cs="Times New Roman"/>
          <w:sz w:val="24"/>
          <w:szCs w:val="24"/>
        </w:rPr>
        <w:t xml:space="preserve">CERDAS Cruz, Rodolfo. </w:t>
      </w:r>
      <w:r w:rsidRPr="00CB1FF3">
        <w:rPr>
          <w:rFonts w:ascii="Times New Roman" w:hAnsi="Times New Roman" w:cs="Times New Roman"/>
          <w:i/>
          <w:sz w:val="24"/>
          <w:szCs w:val="24"/>
        </w:rPr>
        <w:t>“Costa Rica en la Encrucijada”,</w:t>
      </w:r>
      <w:r w:rsidRPr="00CB1FF3">
        <w:rPr>
          <w:rFonts w:ascii="Times New Roman" w:hAnsi="Times New Roman" w:cs="Times New Roman"/>
          <w:sz w:val="24"/>
          <w:szCs w:val="24"/>
        </w:rPr>
        <w:t xml:space="preserve"> Editorial Juricentro, San José, Costa Rica, 2010.</w:t>
      </w:r>
    </w:p>
    <w:p w:rsidR="00957FEC" w:rsidRPr="00CB1FF3" w:rsidRDefault="00957FEC" w:rsidP="00957FEC">
      <w:pPr>
        <w:spacing w:after="0" w:line="240" w:lineRule="auto"/>
        <w:jc w:val="both"/>
        <w:rPr>
          <w:rFonts w:ascii="Times New Roman" w:hAnsi="Times New Roman" w:cs="Times New Roman"/>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sidRPr="00CB1FF3">
        <w:rPr>
          <w:rFonts w:ascii="Times New Roman" w:hAnsi="Times New Roman" w:cs="Times New Roman"/>
          <w:sz w:val="24"/>
          <w:szCs w:val="24"/>
        </w:rPr>
        <w:t xml:space="preserve">CHOMSKY, Noan. </w:t>
      </w:r>
      <w:r w:rsidRPr="00CB1FF3">
        <w:rPr>
          <w:rFonts w:ascii="Times New Roman" w:hAnsi="Times New Roman" w:cs="Times New Roman"/>
          <w:i/>
          <w:sz w:val="24"/>
          <w:szCs w:val="24"/>
        </w:rPr>
        <w:t>“Quién domina el mundo?”.</w:t>
      </w:r>
      <w:r w:rsidRPr="00CB1FF3">
        <w:rPr>
          <w:rFonts w:ascii="Times New Roman" w:hAnsi="Times New Roman" w:cs="Times New Roman"/>
          <w:sz w:val="24"/>
          <w:szCs w:val="24"/>
        </w:rPr>
        <w:t xml:space="preserve"> Ediciones B, S.A., Barcelona, 2016</w:t>
      </w:r>
    </w:p>
    <w:p w:rsidR="00957FEC" w:rsidRPr="00CB1FF3" w:rsidRDefault="00957FEC" w:rsidP="00957FEC">
      <w:pPr>
        <w:spacing w:after="0" w:line="240" w:lineRule="auto"/>
        <w:jc w:val="both"/>
        <w:rPr>
          <w:rFonts w:ascii="Times New Roman" w:hAnsi="Times New Roman" w:cs="Times New Roman"/>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sidRPr="00CB1FF3">
        <w:rPr>
          <w:rFonts w:ascii="Times New Roman" w:hAnsi="Times New Roman" w:cs="Times New Roman"/>
          <w:sz w:val="24"/>
          <w:szCs w:val="24"/>
        </w:rPr>
        <w:t xml:space="preserve">COHEN, Daniel. </w:t>
      </w:r>
      <w:r w:rsidRPr="00CB1FF3">
        <w:rPr>
          <w:rFonts w:ascii="Times New Roman" w:hAnsi="Times New Roman" w:cs="Times New Roman"/>
          <w:i/>
          <w:sz w:val="24"/>
          <w:szCs w:val="24"/>
        </w:rPr>
        <w:t>“Nuestros Tiempos Modernos”</w:t>
      </w:r>
      <w:r w:rsidRPr="00CB1FF3">
        <w:rPr>
          <w:rFonts w:ascii="Times New Roman" w:hAnsi="Times New Roman" w:cs="Times New Roman"/>
          <w:sz w:val="24"/>
          <w:szCs w:val="24"/>
        </w:rPr>
        <w:t>, Editorial Tusquets, I Edición, Barcelona, 2001.</w:t>
      </w:r>
    </w:p>
    <w:p w:rsidR="00957FEC" w:rsidRPr="00CB1FF3" w:rsidRDefault="00957FEC" w:rsidP="00957FEC">
      <w:pPr>
        <w:spacing w:after="0" w:line="240" w:lineRule="auto"/>
        <w:jc w:val="both"/>
        <w:rPr>
          <w:rFonts w:ascii="Times New Roman" w:hAnsi="Times New Roman" w:cs="Times New Roman"/>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sidRPr="00CB1FF3">
        <w:rPr>
          <w:rFonts w:ascii="Times New Roman" w:hAnsi="Times New Roman" w:cs="Times New Roman"/>
          <w:sz w:val="24"/>
          <w:szCs w:val="24"/>
        </w:rPr>
        <w:t>Comité de Libertad Sindical de OIT. Recopilación de Decisiones y Principios del año 2006. Recopilación del año 2006.</w:t>
      </w:r>
    </w:p>
    <w:p w:rsidR="00957FEC" w:rsidRPr="00CB1FF3" w:rsidRDefault="00957FEC" w:rsidP="00957FEC">
      <w:pPr>
        <w:spacing w:after="0" w:line="240" w:lineRule="auto"/>
        <w:jc w:val="both"/>
        <w:rPr>
          <w:rFonts w:ascii="Times New Roman" w:hAnsi="Times New Roman" w:cs="Times New Roman"/>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sidRPr="00CB1FF3">
        <w:rPr>
          <w:rFonts w:ascii="Times New Roman" w:hAnsi="Times New Roman" w:cs="Times New Roman"/>
          <w:sz w:val="24"/>
          <w:szCs w:val="24"/>
        </w:rPr>
        <w:t xml:space="preserve">CUBERO Iglesias, Manuel. </w:t>
      </w:r>
      <w:r w:rsidRPr="00CB1FF3">
        <w:rPr>
          <w:rFonts w:ascii="Times New Roman" w:hAnsi="Times New Roman" w:cs="Times New Roman"/>
          <w:i/>
          <w:sz w:val="24"/>
          <w:szCs w:val="24"/>
        </w:rPr>
        <w:t>“Negociación Colectiva”</w:t>
      </w:r>
      <w:r w:rsidRPr="00CB1FF3">
        <w:rPr>
          <w:rFonts w:ascii="Times New Roman" w:hAnsi="Times New Roman" w:cs="Times New Roman"/>
          <w:sz w:val="24"/>
          <w:szCs w:val="24"/>
        </w:rPr>
        <w:t>, Editorial Colex, Madrid, 1997.</w:t>
      </w:r>
    </w:p>
    <w:p w:rsidR="00957FEC" w:rsidRPr="00CB1FF3" w:rsidRDefault="00957FEC" w:rsidP="00957FEC">
      <w:pPr>
        <w:spacing w:after="0" w:line="240" w:lineRule="auto"/>
        <w:jc w:val="both"/>
        <w:rPr>
          <w:rFonts w:ascii="Times New Roman" w:hAnsi="Times New Roman" w:cs="Times New Roman"/>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sidRPr="00CB1FF3">
        <w:rPr>
          <w:rFonts w:ascii="Times New Roman" w:hAnsi="Times New Roman" w:cs="Times New Roman"/>
          <w:sz w:val="24"/>
          <w:szCs w:val="24"/>
        </w:rPr>
        <w:t>D. Judzik y H.</w:t>
      </w:r>
      <w:r>
        <w:rPr>
          <w:rFonts w:ascii="Times New Roman" w:hAnsi="Times New Roman" w:cs="Times New Roman"/>
          <w:sz w:val="24"/>
          <w:szCs w:val="24"/>
        </w:rPr>
        <w:t xml:space="preserve"> </w:t>
      </w:r>
      <w:r w:rsidRPr="00CB1FF3">
        <w:rPr>
          <w:rFonts w:ascii="Times New Roman" w:hAnsi="Times New Roman" w:cs="Times New Roman"/>
          <w:sz w:val="24"/>
          <w:szCs w:val="24"/>
        </w:rPr>
        <w:t>Sala.</w:t>
      </w:r>
      <w:r>
        <w:rPr>
          <w:rFonts w:ascii="Times New Roman" w:hAnsi="Times New Roman" w:cs="Times New Roman"/>
          <w:color w:val="FF0000"/>
          <w:sz w:val="24"/>
          <w:szCs w:val="24"/>
        </w:rPr>
        <w:t xml:space="preserve"> </w:t>
      </w:r>
      <w:r>
        <w:rPr>
          <w:rFonts w:ascii="Times New Roman" w:hAnsi="Times New Roman" w:cs="Times New Roman"/>
          <w:sz w:val="24"/>
          <w:szCs w:val="24"/>
        </w:rPr>
        <w:t>“</w:t>
      </w:r>
      <w:r>
        <w:rPr>
          <w:rFonts w:ascii="Times New Roman" w:hAnsi="Times New Roman" w:cs="Times New Roman"/>
          <w:i/>
          <w:sz w:val="24"/>
          <w:szCs w:val="24"/>
        </w:rPr>
        <w:t>Productividad, desindicalización y comercio: efectos sobre el salario y la participación de la renta del trabajo”.</w:t>
      </w:r>
      <w:r w:rsidRPr="00CB1FF3">
        <w:rPr>
          <w:rFonts w:ascii="Times New Roman" w:hAnsi="Times New Roman" w:cs="Times New Roman"/>
          <w:color w:val="FF0000"/>
          <w:sz w:val="24"/>
          <w:szCs w:val="24"/>
        </w:rPr>
        <w:t xml:space="preserve"> </w:t>
      </w:r>
      <w:r w:rsidRPr="00CB1FF3">
        <w:rPr>
          <w:rFonts w:ascii="Times New Roman" w:hAnsi="Times New Roman" w:cs="Times New Roman"/>
          <w:sz w:val="24"/>
          <w:szCs w:val="24"/>
        </w:rPr>
        <w:t>Revista Internacional de Derecho del Trabajo. OIT, 2013/2, volumen 132, junio.</w:t>
      </w:r>
    </w:p>
    <w:p w:rsidR="00957FEC" w:rsidRPr="00CB1FF3" w:rsidRDefault="00957FEC" w:rsidP="00957FEC">
      <w:pPr>
        <w:spacing w:after="0" w:line="240" w:lineRule="auto"/>
        <w:jc w:val="both"/>
        <w:rPr>
          <w:rFonts w:ascii="Times New Roman" w:hAnsi="Times New Roman" w:cs="Times New Roman"/>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sidRPr="00CB1FF3">
        <w:rPr>
          <w:rFonts w:ascii="Times New Roman" w:hAnsi="Times New Roman" w:cs="Times New Roman"/>
          <w:sz w:val="24"/>
          <w:szCs w:val="24"/>
        </w:rPr>
        <w:t xml:space="preserve">DE BUEN, Néstor. </w:t>
      </w:r>
      <w:r w:rsidRPr="00CB1FF3">
        <w:rPr>
          <w:rFonts w:ascii="Times New Roman" w:hAnsi="Times New Roman" w:cs="Times New Roman"/>
          <w:i/>
          <w:sz w:val="24"/>
          <w:szCs w:val="24"/>
        </w:rPr>
        <w:t>“La Constitución y la Nueva Cuestión Social”</w:t>
      </w:r>
      <w:r w:rsidRPr="00CB1FF3">
        <w:rPr>
          <w:rFonts w:ascii="Times New Roman" w:hAnsi="Times New Roman" w:cs="Times New Roman"/>
          <w:sz w:val="24"/>
          <w:szCs w:val="24"/>
        </w:rPr>
        <w:t>, Revista Latinoamericana de Derecho Social”, Núm. 1, Julio-Diciembre de 2005, Instituto de Investigaciones Jurídicas de la Universidad Autónoma de México.</w:t>
      </w:r>
    </w:p>
    <w:p w:rsidR="00957FEC" w:rsidRPr="00CB1FF3" w:rsidRDefault="00957FEC" w:rsidP="00957FEC">
      <w:pPr>
        <w:spacing w:after="0" w:line="240" w:lineRule="auto"/>
        <w:jc w:val="both"/>
        <w:rPr>
          <w:rFonts w:ascii="Times New Roman" w:hAnsi="Times New Roman" w:cs="Times New Roman"/>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sidRPr="00CB1FF3">
        <w:rPr>
          <w:rFonts w:ascii="Times New Roman" w:hAnsi="Times New Roman" w:cs="Times New Roman"/>
          <w:sz w:val="24"/>
          <w:szCs w:val="24"/>
        </w:rPr>
        <w:lastRenderedPageBreak/>
        <w:t xml:space="preserve">DEL ROSABAL, Amaro. </w:t>
      </w:r>
      <w:r w:rsidRPr="00CB1FF3">
        <w:rPr>
          <w:rFonts w:ascii="Times New Roman" w:hAnsi="Times New Roman" w:cs="Times New Roman"/>
          <w:i/>
          <w:sz w:val="24"/>
          <w:szCs w:val="24"/>
        </w:rPr>
        <w:t xml:space="preserve"> “Los Congresos Obreros Internacionales del Siglo XX”</w:t>
      </w:r>
      <w:r w:rsidRPr="00CB1FF3">
        <w:rPr>
          <w:rFonts w:ascii="Times New Roman" w:hAnsi="Times New Roman" w:cs="Times New Roman"/>
          <w:sz w:val="24"/>
          <w:szCs w:val="24"/>
        </w:rPr>
        <w:t>, Editorial Grijalbo, Tercera Edición, Barcelona, 1975.</w:t>
      </w:r>
    </w:p>
    <w:p w:rsidR="00957FEC" w:rsidRPr="00CB1FF3" w:rsidRDefault="00957FEC" w:rsidP="00957FEC">
      <w:pPr>
        <w:spacing w:after="0" w:line="240" w:lineRule="auto"/>
        <w:jc w:val="both"/>
        <w:rPr>
          <w:rFonts w:ascii="Times New Roman" w:hAnsi="Times New Roman" w:cs="Times New Roman"/>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sidRPr="00CB1FF3">
        <w:rPr>
          <w:rFonts w:ascii="Times New Roman" w:hAnsi="Times New Roman" w:cs="Times New Roman"/>
          <w:sz w:val="24"/>
          <w:szCs w:val="24"/>
        </w:rPr>
        <w:t xml:space="preserve">FERUS-COMELO, Anibel. </w:t>
      </w:r>
      <w:r w:rsidRPr="00CB1FF3">
        <w:rPr>
          <w:rFonts w:ascii="Times New Roman" w:hAnsi="Times New Roman" w:cs="Times New Roman"/>
          <w:i/>
          <w:sz w:val="24"/>
          <w:szCs w:val="24"/>
        </w:rPr>
        <w:t>“Paving the path Toward the unionization of High-Tech sweatshops”,</w:t>
      </w:r>
      <w:r w:rsidRPr="00CB1FF3">
        <w:rPr>
          <w:rFonts w:ascii="Times New Roman" w:hAnsi="Times New Roman" w:cs="Times New Roman"/>
          <w:sz w:val="24"/>
          <w:szCs w:val="24"/>
        </w:rPr>
        <w:t xml:space="preserve"> Obra colectiva:</w:t>
      </w:r>
      <w:r w:rsidRPr="00CB1FF3">
        <w:rPr>
          <w:rFonts w:ascii="Times New Roman" w:hAnsi="Times New Roman" w:cs="Times New Roman"/>
          <w:color w:val="FF0000"/>
          <w:sz w:val="24"/>
          <w:szCs w:val="24"/>
        </w:rPr>
        <w:t xml:space="preserve"> </w:t>
      </w:r>
      <w:r w:rsidRPr="000B2103">
        <w:rPr>
          <w:rFonts w:ascii="Times New Roman" w:hAnsi="Times New Roman" w:cs="Times New Roman"/>
          <w:sz w:val="24"/>
          <w:szCs w:val="24"/>
        </w:rPr>
        <w:t>“Trade Union Responses to Globalization”</w:t>
      </w:r>
      <w:r w:rsidRPr="00CB1FF3">
        <w:rPr>
          <w:rFonts w:ascii="Times New Roman" w:hAnsi="Times New Roman" w:cs="Times New Roman"/>
          <w:color w:val="FF0000"/>
          <w:sz w:val="24"/>
          <w:szCs w:val="24"/>
        </w:rPr>
        <w:t xml:space="preserve">, </w:t>
      </w:r>
      <w:r w:rsidRPr="00CB1FF3">
        <w:rPr>
          <w:rFonts w:ascii="Times New Roman" w:hAnsi="Times New Roman" w:cs="Times New Roman"/>
          <w:sz w:val="24"/>
          <w:szCs w:val="24"/>
        </w:rPr>
        <w:t xml:space="preserve">Editado por Verena Schmidt, bajo los auspicios de la Oficina Internacional del Trabajo, Ginebra, 2007. </w:t>
      </w:r>
    </w:p>
    <w:p w:rsidR="00957FEC" w:rsidRDefault="00957FEC" w:rsidP="00957FEC">
      <w:pPr>
        <w:spacing w:after="0" w:line="240" w:lineRule="auto"/>
        <w:jc w:val="both"/>
        <w:rPr>
          <w:rFonts w:ascii="Times New Roman" w:hAnsi="Times New Roman" w:cs="Times New Roman"/>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sidRPr="00CB1FF3">
        <w:rPr>
          <w:rFonts w:ascii="Times New Roman" w:hAnsi="Times New Roman" w:cs="Times New Roman"/>
          <w:sz w:val="24"/>
          <w:szCs w:val="24"/>
        </w:rPr>
        <w:t>FRÍAS, Patricio</w:t>
      </w:r>
      <w:r w:rsidRPr="00CB1FF3">
        <w:rPr>
          <w:rFonts w:ascii="Times New Roman" w:hAnsi="Times New Roman" w:cs="Times New Roman"/>
          <w:i/>
          <w:sz w:val="24"/>
          <w:szCs w:val="24"/>
        </w:rPr>
        <w:t>. “El Estado actual del Movimiento Sindical Centroamericano</w:t>
      </w:r>
      <w:r w:rsidRPr="00CB1FF3">
        <w:rPr>
          <w:rFonts w:ascii="Times New Roman" w:hAnsi="Times New Roman" w:cs="Times New Roman"/>
          <w:sz w:val="24"/>
          <w:szCs w:val="24"/>
        </w:rPr>
        <w:t>”, Artículo del Libro “El Impacto de la Globalización en el Movimiento Sindical”, Segunda Reunión Sindical Subregional. Editado por la Organización Internacional del Trabajo, Primera Edición, San José, 2003.</w:t>
      </w:r>
    </w:p>
    <w:p w:rsidR="00957FEC" w:rsidRPr="00CB1FF3" w:rsidRDefault="00957FEC" w:rsidP="00957FEC">
      <w:pPr>
        <w:spacing w:after="0" w:line="240" w:lineRule="auto"/>
        <w:jc w:val="both"/>
        <w:rPr>
          <w:rFonts w:ascii="Times New Roman" w:hAnsi="Times New Roman" w:cs="Times New Roman"/>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sidRPr="00CB1FF3">
        <w:rPr>
          <w:rFonts w:ascii="Times New Roman" w:hAnsi="Times New Roman" w:cs="Times New Roman"/>
          <w:sz w:val="24"/>
          <w:szCs w:val="24"/>
        </w:rPr>
        <w:t xml:space="preserve">GOMEZ, Manuel V. </w:t>
      </w:r>
      <w:r w:rsidRPr="00CB1FF3">
        <w:rPr>
          <w:rFonts w:ascii="Times New Roman" w:hAnsi="Times New Roman" w:cs="Times New Roman"/>
          <w:i/>
          <w:sz w:val="24"/>
          <w:szCs w:val="24"/>
        </w:rPr>
        <w:t xml:space="preserve"> El fin de una era sindical. </w:t>
      </w:r>
      <w:r w:rsidRPr="00CB1FF3">
        <w:rPr>
          <w:rFonts w:ascii="Times New Roman" w:hAnsi="Times New Roman" w:cs="Times New Roman"/>
          <w:sz w:val="24"/>
          <w:szCs w:val="24"/>
        </w:rPr>
        <w:t>Artículo periodístico publicado en el Diario El País de Esp</w:t>
      </w:r>
      <w:r>
        <w:rPr>
          <w:rFonts w:ascii="Times New Roman" w:hAnsi="Times New Roman" w:cs="Times New Roman"/>
          <w:sz w:val="24"/>
          <w:szCs w:val="24"/>
        </w:rPr>
        <w:t xml:space="preserve">aña, edición digital del día 1 </w:t>
      </w:r>
      <w:r w:rsidRPr="00CB1FF3">
        <w:rPr>
          <w:rFonts w:ascii="Times New Roman" w:hAnsi="Times New Roman" w:cs="Times New Roman"/>
          <w:sz w:val="24"/>
          <w:szCs w:val="24"/>
        </w:rPr>
        <w:t xml:space="preserve">de mayo de 2016. </w:t>
      </w:r>
    </w:p>
    <w:p w:rsidR="00957FEC" w:rsidRPr="00CB1FF3" w:rsidRDefault="00957FEC" w:rsidP="00957FEC">
      <w:pPr>
        <w:spacing w:after="0" w:line="240" w:lineRule="auto"/>
        <w:jc w:val="both"/>
        <w:rPr>
          <w:rFonts w:ascii="Times New Roman" w:hAnsi="Times New Roman" w:cs="Times New Roman"/>
          <w:sz w:val="24"/>
          <w:szCs w:val="24"/>
        </w:rPr>
      </w:pPr>
    </w:p>
    <w:p w:rsidR="00957FEC" w:rsidRPr="00CB1FF3" w:rsidRDefault="00957FEC" w:rsidP="00957FEC">
      <w:pPr>
        <w:spacing w:after="0" w:line="240" w:lineRule="auto"/>
        <w:jc w:val="both"/>
        <w:rPr>
          <w:rFonts w:ascii="Times New Roman" w:hAnsi="Times New Roman" w:cs="Times New Roman"/>
          <w:color w:val="FF0000"/>
          <w:sz w:val="24"/>
          <w:szCs w:val="24"/>
        </w:rPr>
      </w:pPr>
      <w:r w:rsidRPr="00D42320">
        <w:rPr>
          <w:rFonts w:ascii="Times New Roman" w:hAnsi="Times New Roman" w:cs="Times New Roman"/>
          <w:sz w:val="24"/>
          <w:szCs w:val="24"/>
        </w:rPr>
        <w:t xml:space="preserve">SUPIOT Alain. </w:t>
      </w:r>
      <w:r>
        <w:rPr>
          <w:rFonts w:ascii="Times New Roman" w:hAnsi="Times New Roman" w:cs="Times New Roman"/>
          <w:color w:val="FF0000"/>
          <w:sz w:val="24"/>
          <w:szCs w:val="24"/>
        </w:rPr>
        <w:t xml:space="preserve"> </w:t>
      </w:r>
      <w:r>
        <w:t>“Más allá del Empleo”. Síntesis del Informe que puede ser consultada en el sitio web https://jeanzin.fr/ecorevo/politic/supiot99.htm.</w:t>
      </w:r>
    </w:p>
    <w:p w:rsidR="00957FEC" w:rsidRPr="00CB1FF3" w:rsidRDefault="00957FEC" w:rsidP="00957FEC">
      <w:pPr>
        <w:spacing w:after="0" w:line="240" w:lineRule="auto"/>
        <w:jc w:val="both"/>
        <w:rPr>
          <w:rFonts w:ascii="Times New Roman" w:hAnsi="Times New Roman" w:cs="Times New Roman"/>
          <w:color w:val="FF0000"/>
          <w:sz w:val="24"/>
          <w:szCs w:val="24"/>
        </w:rPr>
      </w:pPr>
    </w:p>
    <w:p w:rsidR="00957FEC" w:rsidRPr="00967312" w:rsidRDefault="00957FEC" w:rsidP="00957FEC">
      <w:pPr>
        <w:jc w:val="both"/>
        <w:rPr>
          <w:rFonts w:ascii="Times New Roman" w:eastAsia="Times New Roman" w:hAnsi="Times New Roman" w:cs="Times New Roman"/>
          <w:sz w:val="24"/>
          <w:szCs w:val="24"/>
          <w:lang w:val="en-US"/>
        </w:rPr>
      </w:pPr>
      <w:r w:rsidRPr="00967312">
        <w:rPr>
          <w:rFonts w:ascii="Times New Roman" w:hAnsi="Times New Roman" w:cs="Times New Roman"/>
          <w:sz w:val="24"/>
          <w:szCs w:val="24"/>
          <w:lang w:val="en-US"/>
        </w:rPr>
        <w:t xml:space="preserve">KOLBERT, Elizabeth. </w:t>
      </w:r>
      <w:r w:rsidRPr="005618E4">
        <w:rPr>
          <w:rFonts w:ascii="Times New Roman" w:hAnsi="Times New Roman" w:cs="Times New Roman"/>
          <w:i/>
          <w:sz w:val="24"/>
          <w:szCs w:val="24"/>
          <w:lang w:val="en-US"/>
        </w:rPr>
        <w:t xml:space="preserve">“Our Automotive Future”, </w:t>
      </w:r>
      <w:r w:rsidRPr="005618E4">
        <w:rPr>
          <w:rFonts w:ascii="Times New Roman" w:hAnsi="Times New Roman" w:cs="Times New Roman"/>
          <w:sz w:val="24"/>
          <w:szCs w:val="24"/>
          <w:lang w:val="en-US"/>
        </w:rPr>
        <w:t xml:space="preserve"> Revista New Yorker,</w:t>
      </w:r>
      <w:r>
        <w:rPr>
          <w:rFonts w:ascii="Times New Roman" w:hAnsi="Times New Roman" w:cs="Times New Roman"/>
          <w:sz w:val="24"/>
          <w:szCs w:val="24"/>
          <w:lang w:val="en-US"/>
        </w:rPr>
        <w:t xml:space="preserve"> </w:t>
      </w:r>
      <w:r w:rsidRPr="005618E4">
        <w:rPr>
          <w:rFonts w:ascii="Times New Roman" w:hAnsi="Times New Roman" w:cs="Times New Roman"/>
          <w:sz w:val="24"/>
          <w:szCs w:val="24"/>
          <w:lang w:val="en-US"/>
        </w:rPr>
        <w:t xml:space="preserve"> </w:t>
      </w:r>
      <w:r w:rsidRPr="00967312">
        <w:rPr>
          <w:rFonts w:ascii="Times New Roman" w:hAnsi="Times New Roman" w:cs="Times New Roman"/>
          <w:sz w:val="24"/>
          <w:szCs w:val="24"/>
          <w:lang w:val="en-US"/>
        </w:rPr>
        <w:t xml:space="preserve">Diciembre de 2016, </w:t>
      </w:r>
      <w:hyperlink r:id="rId7" w:history="1">
        <w:r w:rsidRPr="00967312">
          <w:rPr>
            <w:rStyle w:val="Hipervnculo"/>
            <w:rFonts w:ascii="Times New Roman" w:eastAsia="Times New Roman" w:hAnsi="Times New Roman" w:cs="Times New Roman"/>
            <w:sz w:val="24"/>
            <w:szCs w:val="24"/>
            <w:lang w:val="en-US"/>
          </w:rPr>
          <w:t>http://www.newyorker.com/magazine/2016/12/19/our-automated-future?mbid=social_facebook</w:t>
        </w:r>
      </w:hyperlink>
    </w:p>
    <w:p w:rsidR="00957FEC" w:rsidRPr="00CB1FF3" w:rsidRDefault="00957FEC" w:rsidP="00957FEC">
      <w:pPr>
        <w:spacing w:after="0" w:line="240" w:lineRule="auto"/>
        <w:jc w:val="both"/>
        <w:rPr>
          <w:rFonts w:ascii="Times New Roman" w:hAnsi="Times New Roman" w:cs="Times New Roman"/>
          <w:sz w:val="24"/>
          <w:szCs w:val="24"/>
        </w:rPr>
      </w:pPr>
      <w:r w:rsidRPr="00CB1FF3">
        <w:rPr>
          <w:rFonts w:ascii="Times New Roman" w:hAnsi="Times New Roman" w:cs="Times New Roman"/>
          <w:sz w:val="24"/>
          <w:szCs w:val="24"/>
        </w:rPr>
        <w:t xml:space="preserve">MONEREO Pérez José Luis, Molina Navarrete Cristóbal y Moreno Vida María Nieves. </w:t>
      </w:r>
      <w:r w:rsidRPr="00CB1FF3">
        <w:rPr>
          <w:rFonts w:ascii="Times New Roman" w:hAnsi="Times New Roman" w:cs="Times New Roman"/>
          <w:i/>
          <w:sz w:val="24"/>
          <w:szCs w:val="24"/>
        </w:rPr>
        <w:t xml:space="preserve">“Manual de Derecho Sindical”, </w:t>
      </w:r>
      <w:r w:rsidRPr="00CB1FF3">
        <w:rPr>
          <w:rFonts w:ascii="Times New Roman" w:hAnsi="Times New Roman" w:cs="Times New Roman"/>
          <w:sz w:val="24"/>
          <w:szCs w:val="24"/>
        </w:rPr>
        <w:t>Editorial Camares, Octava Edición, Granada, 2013.</w:t>
      </w:r>
    </w:p>
    <w:p w:rsidR="00957FEC" w:rsidRPr="00CB1FF3" w:rsidRDefault="00957FEC" w:rsidP="00957FEC">
      <w:pPr>
        <w:spacing w:after="0" w:line="240" w:lineRule="auto"/>
        <w:jc w:val="both"/>
        <w:rPr>
          <w:rFonts w:ascii="Times New Roman" w:hAnsi="Times New Roman" w:cs="Times New Roman"/>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MONEREO Pérez José Luis, MORENO Vida Maria Nieves; FERNÁNDEZ Avilés José Antonio y SALAS</w:t>
      </w:r>
      <w:r w:rsidRPr="00CB1FF3">
        <w:rPr>
          <w:rFonts w:ascii="Times New Roman" w:hAnsi="Times New Roman" w:cs="Times New Roman"/>
          <w:sz w:val="24"/>
          <w:szCs w:val="24"/>
        </w:rPr>
        <w:t xml:space="preserve"> Porras María. “Manual de Teoría de las Relaciones Laborales”</w:t>
      </w:r>
      <w:r w:rsidRPr="00CB1FF3">
        <w:rPr>
          <w:rFonts w:ascii="Times New Roman" w:hAnsi="Times New Roman" w:cs="Times New Roman"/>
          <w:i/>
          <w:sz w:val="24"/>
          <w:szCs w:val="24"/>
        </w:rPr>
        <w:t>,</w:t>
      </w:r>
      <w:r w:rsidRPr="00CB1FF3">
        <w:rPr>
          <w:rFonts w:ascii="Times New Roman" w:hAnsi="Times New Roman" w:cs="Times New Roman"/>
          <w:sz w:val="24"/>
          <w:szCs w:val="24"/>
        </w:rPr>
        <w:t xml:space="preserve"> Editorial Tecnos, Madrid, 2011.</w:t>
      </w:r>
    </w:p>
    <w:p w:rsidR="00957FEC" w:rsidRPr="00CB1FF3" w:rsidRDefault="00957FEC" w:rsidP="00957FEC">
      <w:pPr>
        <w:spacing w:after="0" w:line="240" w:lineRule="auto"/>
        <w:jc w:val="both"/>
        <w:rPr>
          <w:rFonts w:ascii="Times New Roman" w:hAnsi="Times New Roman" w:cs="Times New Roman"/>
          <w:color w:val="FF0000"/>
          <w:sz w:val="24"/>
          <w:szCs w:val="24"/>
        </w:rPr>
      </w:pPr>
    </w:p>
    <w:p w:rsidR="00957FEC" w:rsidRPr="00CB1FF3" w:rsidRDefault="00957FEC" w:rsidP="00957FEC">
      <w:pPr>
        <w:spacing w:after="0" w:line="240" w:lineRule="auto"/>
        <w:jc w:val="both"/>
        <w:rPr>
          <w:rFonts w:ascii="Times New Roman" w:hAnsi="Times New Roman" w:cs="Times New Roman"/>
          <w:color w:val="FF0000"/>
          <w:sz w:val="24"/>
          <w:szCs w:val="24"/>
        </w:rPr>
      </w:pPr>
      <w:r w:rsidRPr="00CB1FF3">
        <w:rPr>
          <w:rFonts w:ascii="Times New Roman" w:hAnsi="Times New Roman" w:cs="Times New Roman"/>
          <w:sz w:val="24"/>
          <w:szCs w:val="24"/>
        </w:rPr>
        <w:t>OJEDA</w:t>
      </w:r>
      <w:r>
        <w:rPr>
          <w:rFonts w:ascii="Times New Roman" w:hAnsi="Times New Roman" w:cs="Times New Roman"/>
          <w:color w:val="FF0000"/>
          <w:sz w:val="24"/>
          <w:szCs w:val="24"/>
        </w:rPr>
        <w:t xml:space="preserve"> </w:t>
      </w:r>
      <w:r w:rsidRPr="00A52BC5">
        <w:rPr>
          <w:rFonts w:ascii="Times New Roman" w:hAnsi="Times New Roman" w:cs="Times New Roman"/>
          <w:sz w:val="24"/>
          <w:szCs w:val="24"/>
        </w:rPr>
        <w:t>Avilés</w:t>
      </w:r>
      <w:r w:rsidRPr="00CB1FF3">
        <w:rPr>
          <w:rFonts w:ascii="Times New Roman" w:hAnsi="Times New Roman" w:cs="Times New Roman"/>
          <w:color w:val="FF0000"/>
          <w:sz w:val="24"/>
          <w:szCs w:val="24"/>
        </w:rPr>
        <w:t xml:space="preserve">, </w:t>
      </w:r>
      <w:r w:rsidRPr="00CB1FF3">
        <w:rPr>
          <w:rFonts w:ascii="Times New Roman" w:hAnsi="Times New Roman" w:cs="Times New Roman"/>
          <w:sz w:val="24"/>
          <w:szCs w:val="24"/>
        </w:rPr>
        <w:t xml:space="preserve">Antonio. </w:t>
      </w:r>
      <w:r w:rsidRPr="00CB1FF3">
        <w:rPr>
          <w:rFonts w:ascii="Times New Roman" w:hAnsi="Times New Roman" w:cs="Times New Roman"/>
          <w:i/>
          <w:sz w:val="24"/>
          <w:szCs w:val="24"/>
        </w:rPr>
        <w:t>Compendio de Derecho Sindical</w:t>
      </w:r>
      <w:r w:rsidRPr="00CB1FF3">
        <w:rPr>
          <w:rFonts w:ascii="Times New Roman" w:hAnsi="Times New Roman" w:cs="Times New Roman"/>
          <w:sz w:val="24"/>
          <w:szCs w:val="24"/>
        </w:rPr>
        <w:t>, Tercera Edición, Editorial Tecnos, Madrid, 2014.</w:t>
      </w:r>
    </w:p>
    <w:p w:rsidR="00957FEC" w:rsidRPr="00CB1FF3" w:rsidRDefault="00957FEC" w:rsidP="00957FEC">
      <w:pPr>
        <w:spacing w:after="0" w:line="240" w:lineRule="auto"/>
        <w:jc w:val="both"/>
        <w:rPr>
          <w:rFonts w:ascii="Times New Roman" w:hAnsi="Times New Roman" w:cs="Times New Roman"/>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sidRPr="00CB1FF3">
        <w:rPr>
          <w:rFonts w:ascii="Times New Roman" w:hAnsi="Times New Roman" w:cs="Times New Roman"/>
          <w:sz w:val="24"/>
          <w:szCs w:val="24"/>
        </w:rPr>
        <w:t>ORGANIZACIÓN INTERNACIONAL DEL TRABAJO. Recopilación de decisiones y principios del Comité de Libertad Sindical, OIT, Ginebra, 2006.</w:t>
      </w:r>
    </w:p>
    <w:p w:rsidR="00957FEC" w:rsidRPr="00CB1FF3" w:rsidRDefault="00957FEC" w:rsidP="00957FEC">
      <w:pPr>
        <w:spacing w:after="0" w:line="240" w:lineRule="auto"/>
        <w:jc w:val="both"/>
        <w:rPr>
          <w:rFonts w:ascii="Times New Roman" w:hAnsi="Times New Roman" w:cs="Times New Roman"/>
          <w:color w:val="FF0000"/>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sidRPr="00A52BC5">
        <w:rPr>
          <w:rFonts w:ascii="Times New Roman" w:hAnsi="Times New Roman" w:cs="Times New Roman"/>
          <w:sz w:val="24"/>
          <w:szCs w:val="24"/>
        </w:rPr>
        <w:t xml:space="preserve">PEGLER, Lee y KNORRINGA, Peter. </w:t>
      </w:r>
      <w:r w:rsidRPr="00A52BC5">
        <w:rPr>
          <w:rFonts w:ascii="Times New Roman" w:hAnsi="Times New Roman" w:cs="Times New Roman"/>
          <w:i/>
          <w:sz w:val="24"/>
          <w:szCs w:val="24"/>
        </w:rPr>
        <w:t>“Integrating Labour Issues in Global Value chain analysis: Exploring Implications for Labour Research and Unions”</w:t>
      </w:r>
      <w:r w:rsidRPr="00A52BC5">
        <w:rPr>
          <w:rFonts w:ascii="Times New Roman" w:hAnsi="Times New Roman" w:cs="Times New Roman"/>
          <w:sz w:val="24"/>
          <w:szCs w:val="24"/>
        </w:rPr>
        <w:t>, Obra colectiva “Trade Union Responses to Globalization”</w:t>
      </w:r>
      <w:r w:rsidRPr="00CB1FF3">
        <w:rPr>
          <w:rFonts w:ascii="Times New Roman" w:hAnsi="Times New Roman" w:cs="Times New Roman"/>
          <w:color w:val="FF0000"/>
          <w:sz w:val="24"/>
          <w:szCs w:val="24"/>
        </w:rPr>
        <w:t>,</w:t>
      </w:r>
      <w:r w:rsidRPr="00CB1FF3">
        <w:rPr>
          <w:rFonts w:ascii="Times New Roman" w:hAnsi="Times New Roman" w:cs="Times New Roman"/>
          <w:sz w:val="24"/>
          <w:szCs w:val="24"/>
        </w:rPr>
        <w:t xml:space="preserve"> Editado por Verena Schmidt, bajo los auspicios de la Oficina Internacional del Trabajo, Ginebra, 2007. </w:t>
      </w:r>
    </w:p>
    <w:p w:rsidR="00957FEC" w:rsidRPr="00CB1FF3" w:rsidRDefault="00957FEC" w:rsidP="00957FEC">
      <w:pPr>
        <w:spacing w:after="0" w:line="240" w:lineRule="auto"/>
        <w:jc w:val="both"/>
        <w:rPr>
          <w:rFonts w:ascii="Times New Roman" w:hAnsi="Times New Roman" w:cs="Times New Roman"/>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sidRPr="00CB1FF3">
        <w:rPr>
          <w:rFonts w:ascii="Times New Roman" w:hAnsi="Times New Roman" w:cs="Times New Roman"/>
          <w:sz w:val="24"/>
          <w:szCs w:val="24"/>
        </w:rPr>
        <w:t>SHMIDT, Eberhard. “</w:t>
      </w:r>
      <w:r w:rsidRPr="00CB1FF3">
        <w:rPr>
          <w:rFonts w:ascii="Times New Roman" w:hAnsi="Times New Roman" w:cs="Times New Roman"/>
          <w:i/>
          <w:sz w:val="24"/>
          <w:szCs w:val="24"/>
        </w:rPr>
        <w:t>Sustainability and Unios: International Trade Union Action to implement sustainability norms at corporate level”,</w:t>
      </w:r>
      <w:r w:rsidRPr="00CB1FF3">
        <w:rPr>
          <w:rFonts w:ascii="Times New Roman" w:hAnsi="Times New Roman" w:cs="Times New Roman"/>
          <w:sz w:val="24"/>
          <w:szCs w:val="24"/>
        </w:rPr>
        <w:t xml:space="preserve"> Obra colectiva: “Trade Union Responses to Globalization”, Editado por Verena Schmidt, bajo los auspicios de la Oficina Internacional del Trabajo, Ginebra, 2007.</w:t>
      </w:r>
    </w:p>
    <w:p w:rsidR="00957FEC" w:rsidRPr="00A52BC5" w:rsidRDefault="00957FEC" w:rsidP="00957FEC">
      <w:pPr>
        <w:spacing w:after="0" w:line="240" w:lineRule="auto"/>
        <w:jc w:val="both"/>
        <w:rPr>
          <w:rFonts w:ascii="Times New Roman" w:hAnsi="Times New Roman" w:cs="Times New Roman"/>
          <w:sz w:val="24"/>
          <w:szCs w:val="24"/>
        </w:rPr>
      </w:pPr>
      <w:r w:rsidRPr="00CB1FF3">
        <w:rPr>
          <w:rFonts w:ascii="Times New Roman" w:hAnsi="Times New Roman" w:cs="Times New Roman"/>
          <w:sz w:val="24"/>
          <w:szCs w:val="24"/>
        </w:rPr>
        <w:t xml:space="preserve"> </w:t>
      </w:r>
    </w:p>
    <w:p w:rsidR="00957FEC" w:rsidRPr="00CB1FF3" w:rsidRDefault="00957FEC" w:rsidP="00957FEC">
      <w:pPr>
        <w:spacing w:after="0" w:line="240" w:lineRule="auto"/>
        <w:jc w:val="both"/>
        <w:rPr>
          <w:rFonts w:ascii="Times New Roman" w:hAnsi="Times New Roman" w:cs="Times New Roman"/>
          <w:sz w:val="24"/>
          <w:szCs w:val="24"/>
        </w:rPr>
      </w:pPr>
      <w:r w:rsidRPr="00CB1FF3">
        <w:rPr>
          <w:rFonts w:ascii="Times New Roman" w:hAnsi="Times New Roman" w:cs="Times New Roman"/>
          <w:sz w:val="24"/>
          <w:szCs w:val="24"/>
        </w:rPr>
        <w:t xml:space="preserve">TARELLO, Giovanni. </w:t>
      </w:r>
      <w:r w:rsidRPr="00CB1FF3">
        <w:rPr>
          <w:rFonts w:ascii="Times New Roman" w:hAnsi="Times New Roman" w:cs="Times New Roman"/>
          <w:i/>
          <w:sz w:val="24"/>
          <w:szCs w:val="24"/>
        </w:rPr>
        <w:t>“Teorías e Ideologías en el Derecho Sindical</w:t>
      </w:r>
      <w:r w:rsidRPr="00CB1FF3">
        <w:rPr>
          <w:rFonts w:ascii="Times New Roman" w:hAnsi="Times New Roman" w:cs="Times New Roman"/>
          <w:sz w:val="24"/>
          <w:szCs w:val="24"/>
        </w:rPr>
        <w:t>”; Editorial Comares S.L., Granada, 2002.</w:t>
      </w:r>
    </w:p>
    <w:p w:rsidR="00957FEC" w:rsidRPr="00CB1FF3" w:rsidRDefault="00957FEC" w:rsidP="00957FEC">
      <w:pPr>
        <w:spacing w:line="240" w:lineRule="auto"/>
        <w:jc w:val="both"/>
        <w:rPr>
          <w:rFonts w:ascii="Times New Roman" w:hAnsi="Times New Roman" w:cs="Times New Roman"/>
          <w:color w:val="FF0000"/>
          <w:sz w:val="24"/>
          <w:szCs w:val="24"/>
        </w:rPr>
      </w:pPr>
    </w:p>
    <w:p w:rsidR="00957FEC" w:rsidRPr="00CB1FF3" w:rsidRDefault="00957FEC" w:rsidP="00957FEC">
      <w:pPr>
        <w:spacing w:after="0" w:line="240" w:lineRule="auto"/>
        <w:jc w:val="both"/>
        <w:rPr>
          <w:rFonts w:ascii="Times New Roman" w:hAnsi="Times New Roman" w:cs="Times New Roman"/>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sidRPr="00CB1FF3">
        <w:rPr>
          <w:rFonts w:ascii="Times New Roman" w:hAnsi="Times New Roman" w:cs="Times New Roman"/>
          <w:sz w:val="24"/>
          <w:szCs w:val="24"/>
        </w:rPr>
        <w:t xml:space="preserve">VARGAS Avila, Rodrigo. </w:t>
      </w:r>
      <w:r w:rsidRPr="00CB1FF3">
        <w:rPr>
          <w:rFonts w:ascii="Times New Roman" w:hAnsi="Times New Roman" w:cs="Times New Roman"/>
          <w:i/>
          <w:sz w:val="24"/>
          <w:szCs w:val="24"/>
        </w:rPr>
        <w:t>“El Sindicato y sus retos ante las transformaciones económicas y sociales”</w:t>
      </w:r>
      <w:r w:rsidRPr="00CB1FF3">
        <w:rPr>
          <w:rFonts w:ascii="Times New Roman" w:hAnsi="Times New Roman" w:cs="Times New Roman"/>
          <w:sz w:val="24"/>
          <w:szCs w:val="24"/>
        </w:rPr>
        <w:t xml:space="preserve">. Sitio web  </w:t>
      </w:r>
      <w:hyperlink r:id="rId8" w:history="1">
        <w:r w:rsidRPr="00CB1FF3">
          <w:rPr>
            <w:rStyle w:val="Hipervnculo"/>
            <w:rFonts w:ascii="Times New Roman" w:hAnsi="Times New Roman" w:cs="Times New Roman"/>
            <w:sz w:val="24"/>
            <w:szCs w:val="24"/>
          </w:rPr>
          <w:t>www.researchgate.net/publication/277273419</w:t>
        </w:r>
      </w:hyperlink>
      <w:r w:rsidRPr="00CB1FF3">
        <w:rPr>
          <w:rFonts w:ascii="Times New Roman" w:hAnsi="Times New Roman" w:cs="Times New Roman"/>
          <w:sz w:val="24"/>
          <w:szCs w:val="24"/>
        </w:rPr>
        <w:t>.</w:t>
      </w:r>
    </w:p>
    <w:p w:rsidR="00957FEC" w:rsidRPr="00CB1FF3" w:rsidRDefault="00957FEC" w:rsidP="00957FEC">
      <w:pPr>
        <w:spacing w:after="0" w:line="240" w:lineRule="auto"/>
        <w:jc w:val="both"/>
        <w:rPr>
          <w:rFonts w:ascii="Times New Roman" w:hAnsi="Times New Roman" w:cs="Times New Roman"/>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sidRPr="00CB1FF3">
        <w:rPr>
          <w:rFonts w:ascii="Times New Roman" w:hAnsi="Times New Roman" w:cs="Times New Roman"/>
          <w:sz w:val="24"/>
          <w:szCs w:val="24"/>
        </w:rPr>
        <w:t xml:space="preserve">VÁSQUEZ Vialard, Antonio. </w:t>
      </w:r>
      <w:r w:rsidRPr="00CB1FF3">
        <w:rPr>
          <w:rFonts w:ascii="Times New Roman" w:hAnsi="Times New Roman" w:cs="Times New Roman"/>
          <w:i/>
          <w:sz w:val="24"/>
          <w:szCs w:val="24"/>
        </w:rPr>
        <w:t>“El Sindicato en el Derecho Argentino”</w:t>
      </w:r>
      <w:r w:rsidRPr="00CB1FF3">
        <w:rPr>
          <w:rFonts w:ascii="Times New Roman" w:hAnsi="Times New Roman" w:cs="Times New Roman"/>
          <w:sz w:val="24"/>
          <w:szCs w:val="24"/>
        </w:rPr>
        <w:t>, Editorial Astrea, Buenos Aires, 1981.</w:t>
      </w:r>
    </w:p>
    <w:p w:rsidR="00957FEC" w:rsidRDefault="00957FEC" w:rsidP="00957FEC">
      <w:pPr>
        <w:jc w:val="both"/>
        <w:rPr>
          <w:rFonts w:ascii="Times New Roman" w:hAnsi="Times New Roman" w:cs="Times New Roman"/>
          <w:sz w:val="24"/>
          <w:szCs w:val="24"/>
        </w:rPr>
      </w:pPr>
    </w:p>
    <w:p w:rsidR="00957FEC" w:rsidRPr="00355FEF" w:rsidRDefault="00957FEC" w:rsidP="00957FEC">
      <w:pPr>
        <w:spacing w:line="240" w:lineRule="auto"/>
        <w:jc w:val="both"/>
        <w:rPr>
          <w:rFonts w:ascii="Times New Roman" w:hAnsi="Times New Roman" w:cs="Times New Roman"/>
          <w:sz w:val="24"/>
          <w:szCs w:val="24"/>
        </w:rPr>
      </w:pPr>
      <w:r w:rsidRPr="00355FEF">
        <w:rPr>
          <w:rFonts w:ascii="Times New Roman" w:hAnsi="Times New Roman" w:cs="Times New Roman"/>
          <w:sz w:val="24"/>
          <w:szCs w:val="24"/>
        </w:rPr>
        <w:t xml:space="preserve">SENTENCIAS </w:t>
      </w:r>
      <w:r>
        <w:rPr>
          <w:rFonts w:ascii="Times New Roman" w:hAnsi="Times New Roman" w:cs="Times New Roman"/>
          <w:sz w:val="24"/>
          <w:szCs w:val="24"/>
        </w:rPr>
        <w:t>JUDICIALES</w:t>
      </w:r>
    </w:p>
    <w:p w:rsidR="00957FEC" w:rsidRPr="00967312" w:rsidRDefault="00957FEC" w:rsidP="00957FEC">
      <w:pPr>
        <w:spacing w:line="240" w:lineRule="auto"/>
        <w:jc w:val="both"/>
        <w:rPr>
          <w:rFonts w:ascii="Times New Roman" w:hAnsi="Times New Roman" w:cs="Times New Roman"/>
          <w:sz w:val="24"/>
          <w:szCs w:val="24"/>
        </w:rPr>
      </w:pPr>
      <w:r w:rsidRPr="00967312">
        <w:rPr>
          <w:rFonts w:ascii="Times New Roman" w:hAnsi="Times New Roman" w:cs="Times New Roman"/>
          <w:sz w:val="24"/>
          <w:szCs w:val="24"/>
        </w:rPr>
        <w:t>Tribunal Constitucional Español. Sentencia No. 11 de 8 de abril de 1981.</w:t>
      </w:r>
    </w:p>
    <w:p w:rsidR="00957FEC" w:rsidRPr="00CB1FF3" w:rsidRDefault="00957FEC" w:rsidP="00957FEC">
      <w:pPr>
        <w:spacing w:after="0" w:line="360" w:lineRule="auto"/>
        <w:jc w:val="both"/>
        <w:rPr>
          <w:rFonts w:ascii="Times New Roman" w:hAnsi="Times New Roman" w:cs="Times New Roman"/>
          <w:sz w:val="24"/>
          <w:szCs w:val="24"/>
        </w:rPr>
      </w:pPr>
      <w:r w:rsidRPr="00CB1FF3">
        <w:rPr>
          <w:rFonts w:ascii="Times New Roman" w:hAnsi="Times New Roman" w:cs="Times New Roman"/>
          <w:sz w:val="24"/>
          <w:szCs w:val="24"/>
        </w:rPr>
        <w:t>Tribunal Constitucional Español, Sentencia No.  37 del año 1983.</w:t>
      </w:r>
    </w:p>
    <w:p w:rsidR="00957FEC" w:rsidRPr="00CB1FF3" w:rsidRDefault="00957FEC" w:rsidP="00957FEC">
      <w:pPr>
        <w:spacing w:line="240" w:lineRule="auto"/>
        <w:jc w:val="both"/>
        <w:rPr>
          <w:rFonts w:ascii="Times New Roman" w:hAnsi="Times New Roman" w:cs="Times New Roman"/>
          <w:color w:val="FF0000"/>
          <w:sz w:val="24"/>
          <w:szCs w:val="24"/>
        </w:rPr>
      </w:pPr>
      <w:r w:rsidRPr="00CB1FF3">
        <w:rPr>
          <w:rFonts w:ascii="Times New Roman" w:hAnsi="Times New Roman" w:cs="Times New Roman"/>
          <w:sz w:val="24"/>
          <w:szCs w:val="24"/>
        </w:rPr>
        <w:t xml:space="preserve">Tribunal Constitucional Español, Sala Primera. Sentencia No. 73 del 27 de junio de 1984. </w:t>
      </w:r>
    </w:p>
    <w:p w:rsidR="00957FEC" w:rsidRPr="00CB1FF3" w:rsidRDefault="00957FEC" w:rsidP="00957FEC">
      <w:pPr>
        <w:spacing w:after="0" w:line="360" w:lineRule="auto"/>
        <w:jc w:val="both"/>
        <w:rPr>
          <w:rFonts w:ascii="Times New Roman" w:hAnsi="Times New Roman" w:cs="Times New Roman"/>
          <w:sz w:val="24"/>
          <w:szCs w:val="24"/>
        </w:rPr>
      </w:pPr>
      <w:r w:rsidRPr="00CB1FF3">
        <w:rPr>
          <w:rFonts w:ascii="Times New Roman" w:hAnsi="Times New Roman" w:cs="Times New Roman"/>
          <w:sz w:val="24"/>
          <w:szCs w:val="24"/>
        </w:rPr>
        <w:t>Tribunal Constitucional Español, Sala Primera. Sentencia No. 105 del 1 de julio de1992.</w:t>
      </w:r>
    </w:p>
    <w:p w:rsidR="00957FEC" w:rsidRPr="00CB1FF3" w:rsidRDefault="00957FEC" w:rsidP="00957FEC">
      <w:pPr>
        <w:spacing w:after="0" w:line="360" w:lineRule="auto"/>
        <w:jc w:val="both"/>
        <w:rPr>
          <w:rFonts w:ascii="Times New Roman" w:hAnsi="Times New Roman" w:cs="Times New Roman"/>
          <w:sz w:val="24"/>
          <w:szCs w:val="24"/>
        </w:rPr>
      </w:pPr>
      <w:r w:rsidRPr="00CB1FF3">
        <w:rPr>
          <w:rFonts w:ascii="Times New Roman" w:hAnsi="Times New Roman" w:cs="Times New Roman"/>
          <w:sz w:val="24"/>
          <w:szCs w:val="24"/>
        </w:rPr>
        <w:t>Tribunal Constitucional Español, Sentencia No. 94 de 1995.</w:t>
      </w:r>
    </w:p>
    <w:p w:rsidR="00957FEC" w:rsidRDefault="00957FEC" w:rsidP="00957FEC">
      <w:pPr>
        <w:jc w:val="both"/>
        <w:rPr>
          <w:rFonts w:ascii="Times New Roman" w:hAnsi="Times New Roman" w:cs="Times New Roman"/>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sidRPr="00CB1FF3">
        <w:rPr>
          <w:rFonts w:ascii="Times New Roman" w:hAnsi="Times New Roman" w:cs="Times New Roman"/>
          <w:sz w:val="24"/>
          <w:szCs w:val="24"/>
        </w:rPr>
        <w:t>Corte Suprema de J</w:t>
      </w:r>
      <w:r>
        <w:rPr>
          <w:rFonts w:ascii="Times New Roman" w:hAnsi="Times New Roman" w:cs="Times New Roman"/>
          <w:sz w:val="24"/>
          <w:szCs w:val="24"/>
        </w:rPr>
        <w:t xml:space="preserve">usticia de Costa Rica. Sala Constitucional, voto No. 58 </w:t>
      </w:r>
      <w:r w:rsidRPr="00CB1FF3">
        <w:rPr>
          <w:rFonts w:ascii="Times New Roman" w:hAnsi="Times New Roman" w:cs="Times New Roman"/>
          <w:sz w:val="24"/>
          <w:szCs w:val="24"/>
        </w:rPr>
        <w:t>de 30 de abril de 1985.</w:t>
      </w:r>
    </w:p>
    <w:p w:rsidR="00957FEC" w:rsidRDefault="00957FEC" w:rsidP="00957FEC">
      <w:pPr>
        <w:spacing w:after="0" w:line="240" w:lineRule="auto"/>
        <w:jc w:val="both"/>
        <w:rPr>
          <w:rFonts w:ascii="Times New Roman" w:hAnsi="Times New Roman" w:cs="Times New Roman"/>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Corte Suprema de Justicia de Costa Rica.</w:t>
      </w:r>
      <w:r w:rsidRPr="00CB1FF3">
        <w:rPr>
          <w:rFonts w:ascii="Times New Roman" w:hAnsi="Times New Roman" w:cs="Times New Roman"/>
          <w:sz w:val="24"/>
          <w:szCs w:val="24"/>
        </w:rPr>
        <w:t xml:space="preserve"> Sala Constitucional, voto No. 013126 de las diecisiete horas del 27 de setiembre de 2011.</w:t>
      </w:r>
    </w:p>
    <w:p w:rsidR="00957FEC" w:rsidRDefault="00957FEC" w:rsidP="00957FEC">
      <w:pPr>
        <w:spacing w:after="0" w:line="240" w:lineRule="auto"/>
        <w:jc w:val="both"/>
        <w:rPr>
          <w:rFonts w:ascii="Times New Roman" w:hAnsi="Times New Roman" w:cs="Times New Roman"/>
          <w:sz w:val="24"/>
          <w:szCs w:val="24"/>
        </w:rPr>
      </w:pPr>
    </w:p>
    <w:p w:rsidR="00957FEC" w:rsidRPr="00CB1FF3" w:rsidRDefault="00957FEC" w:rsidP="00957FE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Corte Suprema de Justicia de Costa Rica.</w:t>
      </w:r>
      <w:r w:rsidRPr="00CB1FF3">
        <w:rPr>
          <w:rFonts w:ascii="Times New Roman" w:hAnsi="Times New Roman" w:cs="Times New Roman"/>
          <w:sz w:val="24"/>
          <w:szCs w:val="24"/>
        </w:rPr>
        <w:t xml:space="preserve"> Sala Constitucional, voto No. 12457 de las quince horas y treinta y seis minutos del trece de setiembre de 2011.</w:t>
      </w:r>
    </w:p>
    <w:p w:rsidR="00957FEC" w:rsidRDefault="00957FEC" w:rsidP="00957FEC">
      <w:pPr>
        <w:jc w:val="both"/>
        <w:rPr>
          <w:rFonts w:ascii="Times New Roman" w:hAnsi="Times New Roman" w:cs="Times New Roman"/>
          <w:sz w:val="24"/>
          <w:szCs w:val="24"/>
        </w:rPr>
      </w:pPr>
    </w:p>
    <w:p w:rsidR="00957FEC" w:rsidRPr="00CB1FF3" w:rsidRDefault="00957FEC" w:rsidP="00957FEC">
      <w:pPr>
        <w:jc w:val="both"/>
        <w:rPr>
          <w:rFonts w:ascii="Times New Roman" w:hAnsi="Times New Roman" w:cs="Times New Roman"/>
          <w:sz w:val="24"/>
          <w:szCs w:val="24"/>
        </w:rPr>
      </w:pPr>
    </w:p>
    <w:p w:rsidR="00A768D1" w:rsidRPr="00957FEC" w:rsidRDefault="00A768D1" w:rsidP="00957FEC">
      <w:bookmarkStart w:id="0" w:name="_GoBack"/>
      <w:bookmarkEnd w:id="0"/>
    </w:p>
    <w:sectPr w:rsidR="00A768D1" w:rsidRPr="00957FEC">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3B89" w:rsidRDefault="00563B89" w:rsidP="00957FEC">
      <w:pPr>
        <w:spacing w:after="0" w:line="240" w:lineRule="auto"/>
      </w:pPr>
      <w:r>
        <w:separator/>
      </w:r>
    </w:p>
  </w:endnote>
  <w:endnote w:type="continuationSeparator" w:id="0">
    <w:p w:rsidR="00563B89" w:rsidRDefault="00563B89" w:rsidP="00957F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3B89" w:rsidRDefault="00563B89" w:rsidP="00957FEC">
      <w:pPr>
        <w:spacing w:after="0" w:line="240" w:lineRule="auto"/>
      </w:pPr>
      <w:r>
        <w:separator/>
      </w:r>
    </w:p>
  </w:footnote>
  <w:footnote w:type="continuationSeparator" w:id="0">
    <w:p w:rsidR="00563B89" w:rsidRDefault="00563B89" w:rsidP="00957FEC">
      <w:pPr>
        <w:spacing w:after="0" w:line="240" w:lineRule="auto"/>
      </w:pPr>
      <w:r>
        <w:continuationSeparator/>
      </w:r>
    </w:p>
  </w:footnote>
  <w:footnote w:id="1">
    <w:p w:rsidR="00957FEC" w:rsidRDefault="00957FEC" w:rsidP="00957FEC">
      <w:pPr>
        <w:pStyle w:val="Textonotapie"/>
      </w:pPr>
      <w:r>
        <w:rPr>
          <w:rStyle w:val="Refdenotaalpie"/>
        </w:rPr>
        <w:footnoteRef/>
      </w:r>
      <w:r>
        <w:t xml:space="preserve"> La primera Asociación Internacional de Trabajadores, nombre que llevara la primera organización obrera internacional, se fundó en el año 1864.</w:t>
      </w:r>
    </w:p>
  </w:footnote>
  <w:footnote w:id="2">
    <w:p w:rsidR="00957FEC" w:rsidRDefault="00957FEC" w:rsidP="00957FEC">
      <w:pPr>
        <w:pStyle w:val="Textonotapie"/>
      </w:pPr>
      <w:r>
        <w:rPr>
          <w:rStyle w:val="Refdenotaalpie"/>
        </w:rPr>
        <w:footnoteRef/>
      </w:r>
      <w:r>
        <w:t xml:space="preserve">  Ackerman Mario, “El Constitucionalismo Social en Latinoamérica”, en “Revista Latinoamericana de Derecho Social, número 1, julio-diciembre de 2005, página 6. </w:t>
      </w:r>
    </w:p>
  </w:footnote>
  <w:footnote w:id="3">
    <w:p w:rsidR="00957FEC" w:rsidRDefault="00957FEC" w:rsidP="00957FEC">
      <w:pPr>
        <w:jc w:val="both"/>
        <w:rPr>
          <w:rFonts w:eastAsia="Times New Roman"/>
        </w:rPr>
      </w:pPr>
      <w:r>
        <w:rPr>
          <w:rStyle w:val="Refdenotaalpie"/>
        </w:rPr>
        <w:footnoteRef/>
      </w:r>
      <w:r>
        <w:t xml:space="preserve"> De acuerdo con la escritora Elizabeth Kolbert, en su artículo “Our Automotive Future” publicado en el número de Diciembre de 2016, del 19 al 26 de ese mes, de la Revista New Yorker,  cercanamente a la mitad de la ocupación en los Estados Unidos se encuentra sujeta a la automatización, es decir a que los empleados sean sustituidos por máquinas o robots, y todo esto sucederá en una o dos décadas. Ello implica, según esta autora, que se podrán observar los efectos de toda la Revolución Industrial comprimidos en la vida de un sabueso ( artículo consultado el día 17 de diciembre de 2016 en la siguiente dirección electrónica </w:t>
      </w:r>
      <w:hyperlink r:id="rId1" w:history="1">
        <w:r>
          <w:rPr>
            <w:rStyle w:val="Hipervnculo"/>
            <w:rFonts w:eastAsia="Times New Roman"/>
          </w:rPr>
          <w:t>http://www.newyorker.com/magazine/2016/12/19/our-automated-future?mbid=social_facebook</w:t>
        </w:r>
      </w:hyperlink>
    </w:p>
    <w:p w:rsidR="00957FEC" w:rsidRDefault="00957FEC" w:rsidP="00957FEC">
      <w:pPr>
        <w:pStyle w:val="Textonotapie"/>
      </w:pPr>
    </w:p>
  </w:footnote>
  <w:footnote w:id="4">
    <w:p w:rsidR="00957FEC" w:rsidRPr="00350190" w:rsidRDefault="00957FEC" w:rsidP="00957FEC">
      <w:pPr>
        <w:pStyle w:val="Textonotapie"/>
        <w:jc w:val="both"/>
      </w:pPr>
      <w:r>
        <w:rPr>
          <w:rStyle w:val="Refdenotaalpie"/>
        </w:rPr>
        <w:footnoteRef/>
      </w:r>
      <w:r>
        <w:t xml:space="preserve"> En palabras del autor costarricense Rodolfo Cerdas Cruz (QdDg), la globalización actual comporta un conjunto de procesos objetivos que se separan de los intentos iniciales de internacionalización de mercados del capitalismo competitivo y del capitalismo imperialista. En palabras suyas </w:t>
      </w:r>
      <w:r>
        <w:rPr>
          <w:i/>
        </w:rPr>
        <w:t xml:space="preserve">“Se trata de un nuevo contexto socio-económico y cultural que culminó una serie de cambios científicos y tecnológicos que arrancan, sobre todo, desde mediados del siglo XX, los cuales generaron una nueva realidad en los más diversos ámbitos, independientemente de la subjetividad y de las preferencias de las personas. En este sentido es, simultáneamente, un rompimiento y una continuación de los desarrollos científicos y tecnológicos anteriores; implica la universalización de las relaciones económicas y financieras e integra de manera inmediata conocimientos, culturas, países y economías, en un único proceso global y totalizador” </w:t>
      </w:r>
      <w:r>
        <w:t>(“Costa Rica en la Encrucijada”, Editorial Juricentro, San José, 2010, página 73).</w:t>
      </w:r>
    </w:p>
  </w:footnote>
  <w:footnote w:id="5">
    <w:p w:rsidR="00957FEC" w:rsidRPr="00EC6176" w:rsidRDefault="00957FEC" w:rsidP="00957FEC">
      <w:pPr>
        <w:pStyle w:val="Textonotapie"/>
      </w:pPr>
      <w:r>
        <w:rPr>
          <w:rStyle w:val="Refdenotaalpie"/>
        </w:rPr>
        <w:footnoteRef/>
      </w:r>
      <w:r>
        <w:t xml:space="preserve"> Zygmunt Bauman, </w:t>
      </w:r>
      <w:r>
        <w:rPr>
          <w:i/>
        </w:rPr>
        <w:t xml:space="preserve">“Modernidad Líquida”, </w:t>
      </w:r>
      <w:r>
        <w:t>Editorial Fondo de Cultura Económica, México, 2003, página 157).</w:t>
      </w:r>
    </w:p>
  </w:footnote>
  <w:footnote w:id="6">
    <w:p w:rsidR="00957FEC" w:rsidRDefault="00957FEC" w:rsidP="00957FEC">
      <w:pPr>
        <w:pStyle w:val="Textonotapie"/>
      </w:pPr>
      <w:r>
        <w:rPr>
          <w:rStyle w:val="Refdenotaalpie"/>
        </w:rPr>
        <w:footnoteRef/>
      </w:r>
      <w:r>
        <w:t xml:space="preserve"> D. Judzik y H.Sala. Revista Internacional de Derecho del Trabajo. OIT, 2013/2, volumen 132, junio, página 238.</w:t>
      </w:r>
    </w:p>
  </w:footnote>
  <w:footnote w:id="7">
    <w:p w:rsidR="00957FEC" w:rsidRPr="00600CDD" w:rsidRDefault="00957FEC" w:rsidP="00957FEC">
      <w:pPr>
        <w:pStyle w:val="Textonotapie"/>
        <w:jc w:val="both"/>
      </w:pPr>
      <w:r>
        <w:rPr>
          <w:rStyle w:val="Refdenotaalpie"/>
        </w:rPr>
        <w:footnoteRef/>
      </w:r>
      <w:r>
        <w:t xml:space="preserve"> El concepto de “época histórica”, ya utilizado en la historia del pensamiento político, desde el punto de vista metodológico privilegia algunos referentes conceptuales que permiten precisar mejor aquellos perfiles considerados principales del período determinado que se trata de caracterizar, en cuanto rasgos específicos del mismo (Cerdas Cruz, ibídem, página 42). Siguiendo al mismo autor – Cerdas Cruz- refiriéndose a la actual época histórica, </w:t>
      </w:r>
      <w:r>
        <w:rPr>
          <w:i/>
        </w:rPr>
        <w:t xml:space="preserve">“…hay que tener presente que la electrónica y la cibernética, la biotecnología, la comunicación satelital, la física espacial, las armas inteligentes y la interconectividad por medio de Internet-para solo mencionar algunos de los aspectos más variados del mundo actual-, se han unido a los más diversos factores económicos, comerciales, sociales, culturales, financieros y políticos, para crear una nueva etapa de desarrollo, que genera, con una rapidez sin precedentes, los cambios más profundos y universalizados en todos los ámbitos de la vida. Esto coincidió, además, con una verdadera revolución en todos los órdenes de la vida social contemporánea que trasciende los límites, al parecer más que estrechos, de la revolución técnico- científica que se dio a mediados del siglo pasado y que ahora resulta siendo la llave que abrió paso, medio siglo después, al proceso de globalización que, además de incluir los cambios científicos y técnicos ocurridos, modificó en lo social los términos, las condiciones y los efectos de las antinomias y problemas tradicionales del viejo orden capitalista e imperialista mundial” </w:t>
      </w:r>
      <w:r>
        <w:t>(Ibídem, página 43).</w:t>
      </w:r>
    </w:p>
  </w:footnote>
  <w:footnote w:id="8">
    <w:p w:rsidR="00957FEC" w:rsidRDefault="00957FEC" w:rsidP="00957FEC">
      <w:pPr>
        <w:pStyle w:val="Textonotapie"/>
      </w:pPr>
      <w:r>
        <w:rPr>
          <w:rStyle w:val="Refdenotaalpie"/>
        </w:rPr>
        <w:footnoteRef/>
      </w:r>
      <w:r>
        <w:t xml:space="preserve"> Castells, Manuel, “La Era de la Información: economía sociedad y cultura”, Volumen 2 El Poder de la Identidad, Alianza Editorial, Madrid, 2001, Quinta reimpresión, página 393.</w:t>
      </w:r>
    </w:p>
  </w:footnote>
  <w:footnote w:id="9">
    <w:p w:rsidR="00957FEC" w:rsidRDefault="00957FEC" w:rsidP="00957FEC">
      <w:pPr>
        <w:pStyle w:val="Textonotapie"/>
      </w:pPr>
      <w:r>
        <w:rPr>
          <w:rStyle w:val="Refdenotaalpie"/>
        </w:rPr>
        <w:footnoteRef/>
      </w:r>
      <w:r>
        <w:t xml:space="preserve"> Ibídem, página 394.</w:t>
      </w:r>
    </w:p>
  </w:footnote>
  <w:footnote w:id="10">
    <w:p w:rsidR="00957FEC" w:rsidRDefault="00957FEC" w:rsidP="00957FEC">
      <w:pPr>
        <w:pStyle w:val="Textonotapie"/>
      </w:pPr>
      <w:r>
        <w:rPr>
          <w:rStyle w:val="Refdenotaalpie"/>
        </w:rPr>
        <w:footnoteRef/>
      </w:r>
      <w:r>
        <w:t xml:space="preserve"> Op. cit, página 189.</w:t>
      </w:r>
    </w:p>
  </w:footnote>
  <w:footnote w:id="11">
    <w:p w:rsidR="00957FEC" w:rsidRPr="003A1B97" w:rsidRDefault="00957FEC" w:rsidP="00957FEC">
      <w:pPr>
        <w:pStyle w:val="Textonotapie"/>
        <w:jc w:val="both"/>
        <w:rPr>
          <w:i/>
        </w:rPr>
      </w:pPr>
      <w:r>
        <w:rPr>
          <w:rStyle w:val="Refdenotaalpie"/>
        </w:rPr>
        <w:footnoteRef/>
      </w:r>
      <w:r>
        <w:t xml:space="preserve"> En este sentido, Bauman apoya la tesis de Alain Turaine, al señalar, con citas de  este último autor que: </w:t>
      </w:r>
      <w:r>
        <w:rPr>
          <w:i/>
        </w:rPr>
        <w:t>“el estado actual de la sociedad marca “el fin de la definición del ser humano como ser social, determinado por su lugar dentro de una sociedad que condiciona su conducta y sus acciones”, y por lo tanto la defensa que puedan oponer los actores sociales  para proteger su “especificidad cultural y psicológica” solo puede basarse  en “la conciencia de que el principio de su combinación únicamente puede hallarse en el individuo, ya no en las instituciones sociales o los principios universales”.</w:t>
      </w:r>
    </w:p>
  </w:footnote>
  <w:footnote w:id="12">
    <w:p w:rsidR="00957FEC" w:rsidRDefault="00957FEC" w:rsidP="00957FEC">
      <w:pPr>
        <w:pStyle w:val="Textonotapie"/>
      </w:pPr>
      <w:r>
        <w:rPr>
          <w:rStyle w:val="Refdenotaalpie"/>
        </w:rPr>
        <w:footnoteRef/>
      </w:r>
      <w:r>
        <w:t xml:space="preserve">. Vargas Avila Rodrigo. “El Sindicato y sus retos ante las transformaciones económicas y sociales”. Ver siguiente dirección en internet: </w:t>
      </w:r>
      <w:hyperlink r:id="rId2" w:history="1">
        <w:r w:rsidRPr="003679BC">
          <w:rPr>
            <w:rStyle w:val="Hipervnculo"/>
          </w:rPr>
          <w:t>www.researchgate.net/publication/277273419_El_sindicato_y_sus_retos_ante_las_transformaciones_economicas_y_sociales</w:t>
        </w:r>
      </w:hyperlink>
      <w:r>
        <w:t>. Página 19. Consultado el día 18 de junio de 2016.</w:t>
      </w:r>
    </w:p>
  </w:footnote>
  <w:footnote w:id="13">
    <w:p w:rsidR="00957FEC" w:rsidRPr="002E2EBC" w:rsidRDefault="00957FEC" w:rsidP="00957FEC">
      <w:pPr>
        <w:pStyle w:val="Textonotapie"/>
        <w:jc w:val="both"/>
      </w:pPr>
      <w:r>
        <w:rPr>
          <w:rStyle w:val="Refdenotaalpie"/>
        </w:rPr>
        <w:footnoteRef/>
      </w:r>
      <w:r>
        <w:t xml:space="preserve"> De allí que Castells se refiera en su obra a nuevas identidades defensivas </w:t>
      </w:r>
      <w:r>
        <w:rPr>
          <w:i/>
        </w:rPr>
        <w:t xml:space="preserve">“que funcionan como refugio y solidaridad, para proteger contra un mundo exterior hostil. Están constituidas desde la cultura; esto es, organizadas en torno a un conjunto específico de autoidentificación: la comunidad de creyentes, los inconos del nacionalismo, la geografía de la localidad”. </w:t>
      </w:r>
      <w:r>
        <w:t xml:space="preserve">(Op. Cit., página 88). Dicho en palabras con un profundo significado, </w:t>
      </w:r>
      <w:r>
        <w:rPr>
          <w:i/>
        </w:rPr>
        <w:t xml:space="preserve">“cuando el mundo se vuelve demasiado grande para ser controlado, los actores sociales pretenden reducirlo de nuevo a su tamaño y alcance”. </w:t>
      </w:r>
      <w:r>
        <w:t>(Ibídem, página 89).</w:t>
      </w:r>
    </w:p>
  </w:footnote>
  <w:footnote w:id="14">
    <w:p w:rsidR="00957FEC" w:rsidRPr="00767CF8" w:rsidRDefault="00957FEC" w:rsidP="00957FEC">
      <w:pPr>
        <w:pStyle w:val="Textonotapie"/>
        <w:jc w:val="both"/>
        <w:rPr>
          <w:i/>
        </w:rPr>
      </w:pPr>
      <w:r>
        <w:rPr>
          <w:rStyle w:val="Refdenotaalpie"/>
        </w:rPr>
        <w:footnoteRef/>
      </w:r>
      <w:r>
        <w:t xml:space="preserve"> Cohen Daniel, “Nuestros Tiempos Modernos”, Editorial Tusquets, I Edición, Barcelona, 2001, página 113. Para este autor, </w:t>
      </w:r>
      <w:r>
        <w:rPr>
          <w:i/>
        </w:rPr>
        <w:t>“este razonamiento sirve para explicar el desempleo de los obreros no cualificados. Despedidos de las fábricas, los obreros sin cualificación de la época del fordismo exceden de pronto las necesidades relativas de la sociedad” (Ibiden, página 115).</w:t>
      </w:r>
    </w:p>
  </w:footnote>
  <w:footnote w:id="15">
    <w:p w:rsidR="00957FEC" w:rsidRDefault="00957FEC" w:rsidP="00957FEC">
      <w:pPr>
        <w:pStyle w:val="Textonotapie"/>
      </w:pPr>
      <w:r>
        <w:rPr>
          <w:rStyle w:val="Refdenotaalpie"/>
        </w:rPr>
        <w:footnoteRef/>
      </w:r>
      <w:r>
        <w:t xml:space="preserve"> Ibídem, página 116.</w:t>
      </w:r>
    </w:p>
  </w:footnote>
  <w:footnote w:id="16">
    <w:p w:rsidR="00957FEC" w:rsidRDefault="00957FEC" w:rsidP="00957FEC">
      <w:pPr>
        <w:pStyle w:val="Textonotapie"/>
        <w:jc w:val="both"/>
      </w:pPr>
      <w:r>
        <w:rPr>
          <w:rStyle w:val="Refdenotaalpie"/>
        </w:rPr>
        <w:footnoteRef/>
      </w:r>
      <w:r>
        <w:t xml:space="preserve"> Es el caso de los países de Centro América, Panamá y República Dominicana, como lo demuestra el trabajo de investigación que tuve a mi cargo coordinar, bajo los auspicios de la Organización Internacional del Trabajo, en el año 2012, denominado “Estado de situación de la Huelga en Centro América y República Dominicana” (documento en proceso de publicación).</w:t>
      </w:r>
    </w:p>
  </w:footnote>
  <w:footnote w:id="17">
    <w:p w:rsidR="00957FEC" w:rsidRDefault="00957FEC" w:rsidP="00957FEC">
      <w:pPr>
        <w:pStyle w:val="Textonotapie"/>
        <w:jc w:val="both"/>
      </w:pPr>
      <w:r>
        <w:rPr>
          <w:rStyle w:val="Refdenotaalpie"/>
        </w:rPr>
        <w:footnoteRef/>
      </w:r>
      <w:r>
        <w:t xml:space="preserve"> Muy descriptivo resulta el panorama que plantea al respecto el experimentado profesor Néstor de Buen cuando señala: </w:t>
      </w:r>
      <w:r>
        <w:rPr>
          <w:i/>
        </w:rPr>
        <w:t xml:space="preserve">“Hoy, a todo esto se le denomina “globalización”. A la vieja idea de que las normas de trabajo son tutelares a favor de los trabajadores, se le sustituye por la “flexibilización”, que significa, en rigor, cambio de las condiciones de trabajo por simple decisión patronal. La estabilidad en el empleo desparece ante el predominio de la temporalidad, preferente de los contratos de trabajo”. </w:t>
      </w:r>
      <w:r>
        <w:t>(“La Constitución y la Nueva Cuestión Social”, Revista Latinoamericana de Derecho Social”, Núm. 1, Julio-Diciembre de 2005, Editada por el Instituto de Investigaciones Jurídicas de la Universidad Autónoma de México, página 30).</w:t>
      </w:r>
    </w:p>
    <w:p w:rsidR="00957FEC" w:rsidRPr="00E50D6F" w:rsidRDefault="00957FEC" w:rsidP="00957FEC">
      <w:pPr>
        <w:pStyle w:val="Textonotapie"/>
        <w:jc w:val="both"/>
      </w:pPr>
    </w:p>
  </w:footnote>
  <w:footnote w:id="18">
    <w:p w:rsidR="00957FEC" w:rsidRDefault="00957FEC" w:rsidP="00957FEC">
      <w:pPr>
        <w:pStyle w:val="Textonotapie"/>
      </w:pPr>
      <w:r>
        <w:rPr>
          <w:rStyle w:val="Refdenotaalpie"/>
        </w:rPr>
        <w:footnoteRef/>
      </w:r>
      <w:r>
        <w:t xml:space="preserve"> Informe de un grupo de expertos creado por la Comisión Europea y encabezado por el Profesor Alain Supiot, 1999.</w:t>
      </w:r>
    </w:p>
  </w:footnote>
  <w:footnote w:id="19">
    <w:p w:rsidR="00957FEC" w:rsidRDefault="00957FEC" w:rsidP="00957FEC">
      <w:pPr>
        <w:pStyle w:val="Textonotapie"/>
      </w:pPr>
      <w:r>
        <w:rPr>
          <w:rStyle w:val="Refdenotaalpie"/>
        </w:rPr>
        <w:footnoteRef/>
      </w:r>
      <w:r>
        <w:t xml:space="preserve"> “Más allá del Empleo”. Síntesis del Informe que puede ser consultada en el sitio web https://jeanzin.fr/ecorevo/politic/supiot99.htm.</w:t>
      </w:r>
    </w:p>
  </w:footnote>
  <w:footnote w:id="20">
    <w:p w:rsidR="00957FEC" w:rsidRPr="0031387C" w:rsidRDefault="00957FEC" w:rsidP="00957FEC">
      <w:pPr>
        <w:pStyle w:val="Textonotapie"/>
      </w:pPr>
      <w:r>
        <w:rPr>
          <w:rStyle w:val="Refdenotaalpie"/>
        </w:rPr>
        <w:footnoteRef/>
      </w:r>
      <w:r>
        <w:t xml:space="preserve"> José Luis Monereo Pérez, Cristóbal Molina Navarrete y Marianieves Moreno Vida, </w:t>
      </w:r>
      <w:r>
        <w:rPr>
          <w:i/>
        </w:rPr>
        <w:t xml:space="preserve">“Manual de Derecho Sindical”, </w:t>
      </w:r>
      <w:r>
        <w:t>Editorial Camares, Octava Edición, Granada, 2013, página 10.</w:t>
      </w:r>
    </w:p>
  </w:footnote>
  <w:footnote w:id="21">
    <w:p w:rsidR="00957FEC" w:rsidRDefault="00957FEC" w:rsidP="00957FEC">
      <w:pPr>
        <w:pStyle w:val="Textonotapie"/>
        <w:jc w:val="both"/>
      </w:pPr>
      <w:r>
        <w:rPr>
          <w:rStyle w:val="Refdenotaalpie"/>
        </w:rPr>
        <w:footnoteRef/>
      </w:r>
      <w:r>
        <w:t xml:space="preserve">  Tal </w:t>
      </w:r>
      <w:r w:rsidRPr="004102AE">
        <w:rPr>
          <w:sz w:val="22"/>
          <w:szCs w:val="22"/>
        </w:rPr>
        <w:t xml:space="preserve"> como es el caso de la representación directa de los trabajadores en comités y órganos de elección directa, algunos con capacidad de negociación colectiva incluso, como sucede en algunos países europeos y americanos</w:t>
      </w:r>
    </w:p>
  </w:footnote>
  <w:footnote w:id="22">
    <w:p w:rsidR="00957FEC" w:rsidRDefault="00957FEC" w:rsidP="00957FEC">
      <w:pPr>
        <w:pStyle w:val="Textonotapie"/>
        <w:jc w:val="both"/>
      </w:pPr>
      <w:r>
        <w:rPr>
          <w:rStyle w:val="Refdenotaalpie"/>
        </w:rPr>
        <w:footnoteRef/>
      </w:r>
      <w:r>
        <w:t xml:space="preserve"> Es el caso que pudimos palpar de manera directa en República Dominicana en nuestra visita a ese país, en el año 2013, donde las asociaciones civiles, no sindicales son reguladas incluso reglamentariamente, o el caso de Costa Rica, donde hasta hace poco tiempo los educadores se organizaban gremialmente como asociaciones y no como sindicatos. </w:t>
      </w:r>
    </w:p>
  </w:footnote>
  <w:footnote w:id="23">
    <w:p w:rsidR="00957FEC" w:rsidRDefault="00957FEC" w:rsidP="00957FEC">
      <w:pPr>
        <w:pStyle w:val="Textonotapie"/>
        <w:jc w:val="both"/>
      </w:pPr>
      <w:r>
        <w:rPr>
          <w:rStyle w:val="Refdenotaalpie"/>
        </w:rPr>
        <w:footnoteRef/>
      </w:r>
      <w:r>
        <w:t xml:space="preserve"> Para el Tribunal Constitucional Español, “El Sindicato puede definirse hoy en día, como una asociación permanente para la representación y defensa de los intereses socio económicos de los trabajadores asalariados, en una posición dialéctica de contrapoder respecto de los empleadores o de cualquier otro sujeto público o privado”. (sentencia 94/1995).</w:t>
      </w:r>
    </w:p>
  </w:footnote>
  <w:footnote w:id="24">
    <w:p w:rsidR="00957FEC" w:rsidRPr="00866C0D" w:rsidRDefault="00957FEC" w:rsidP="00957FEC">
      <w:pPr>
        <w:pStyle w:val="Textonotapie"/>
        <w:jc w:val="both"/>
        <w:rPr>
          <w:i/>
        </w:rPr>
      </w:pPr>
      <w:r>
        <w:rPr>
          <w:rStyle w:val="Refdenotaalpie"/>
        </w:rPr>
        <w:footnoteRef/>
      </w:r>
      <w:r>
        <w:t xml:space="preserve"> Así en la sentencia 37 del año 1983, señaló el Tribunal Constitucional Español que: </w:t>
      </w:r>
      <w:r>
        <w:rPr>
          <w:i/>
        </w:rPr>
        <w:t>“La libertad sindical implica la libertad para el ejercicio de la acción sindical, comprendiendo en ella todos los medios lícitos, entre los que los Tratados Internacionales ratificados por España y, muy especialmente los convenios núms. 87 y 98 de la Organización Internacional del Trabajo y las resoluciones interpretativas de los mismos dictados por su Comité de Libertad Sindical, así como la sentencia de este Tribunal de 8 de abril de 1981, incluyen la negociación colectiva y la huelga, debiendo extenderse también a la incoación de conflictos colectivos, pues sería paradójico que quien puede defender los intereses de los trabajadores mediante la negociación colectiva o la huelga no pudiera hacerlo mediante la utilización de los procedimientos legalmente previstos para el planteamiento y solución pacífica de los conflictos colectivos”.</w:t>
      </w:r>
    </w:p>
  </w:footnote>
  <w:footnote w:id="25">
    <w:p w:rsidR="00957FEC" w:rsidRDefault="00957FEC" w:rsidP="00957FEC">
      <w:pPr>
        <w:pStyle w:val="Textonotapie"/>
      </w:pPr>
      <w:r>
        <w:rPr>
          <w:rStyle w:val="Refdenotaalpie"/>
        </w:rPr>
        <w:footnoteRef/>
      </w:r>
      <w:r>
        <w:t xml:space="preserve"> José Luis Monereo Pérez, Cristóbal Molina Navarrete y María Nieves Moreno Vida, op. cit., página 15.  </w:t>
      </w:r>
    </w:p>
  </w:footnote>
  <w:footnote w:id="26">
    <w:p w:rsidR="00957FEC" w:rsidRDefault="00957FEC" w:rsidP="00957FEC">
      <w:pPr>
        <w:pStyle w:val="Textonotapie"/>
      </w:pPr>
      <w:r>
        <w:rPr>
          <w:rStyle w:val="Refdenotaalpie"/>
        </w:rPr>
        <w:footnoteRef/>
      </w:r>
      <w:r>
        <w:t xml:space="preserve"> Ibídem, página 21.</w:t>
      </w:r>
    </w:p>
  </w:footnote>
  <w:footnote w:id="27">
    <w:p w:rsidR="00957FEC" w:rsidRDefault="00957FEC" w:rsidP="00957FEC">
      <w:pPr>
        <w:pStyle w:val="Textonotapie"/>
      </w:pPr>
      <w:r>
        <w:rPr>
          <w:rStyle w:val="Refdenotaalpie"/>
        </w:rPr>
        <w:footnoteRef/>
      </w:r>
      <w:r>
        <w:t xml:space="preserve"> Giovanni Tarello, “Teorías e Ideologías en el Derecho Sindical”; Editorial Comares S.L., Granada, 2002, página 33. </w:t>
      </w:r>
    </w:p>
    <w:p w:rsidR="00957FEC" w:rsidRDefault="00957FEC" w:rsidP="00957FEC">
      <w:pPr>
        <w:pStyle w:val="Textonotapie"/>
      </w:pPr>
    </w:p>
  </w:footnote>
  <w:footnote w:id="28">
    <w:p w:rsidR="00957FEC" w:rsidRDefault="00957FEC" w:rsidP="00957FEC">
      <w:pPr>
        <w:pStyle w:val="Textonotapie"/>
      </w:pPr>
      <w:r>
        <w:rPr>
          <w:rStyle w:val="Refdenotaalpie"/>
        </w:rPr>
        <w:footnoteRef/>
      </w:r>
      <w:r>
        <w:t xml:space="preserve"> Ibídem, páginas 36 y 52 </w:t>
      </w:r>
    </w:p>
  </w:footnote>
  <w:footnote w:id="29">
    <w:p w:rsidR="00957FEC" w:rsidRDefault="00957FEC" w:rsidP="00957FEC">
      <w:pPr>
        <w:pStyle w:val="Textonotapie"/>
      </w:pPr>
      <w:r>
        <w:rPr>
          <w:rStyle w:val="Refdenotaalpie"/>
        </w:rPr>
        <w:footnoteRef/>
      </w:r>
      <w:r>
        <w:t xml:space="preserve"> José Luis Monereo Pérez, Cristóbal Molina Navarrete, María Nieves Moreno Vida, op. cit., páginas 27,28.</w:t>
      </w:r>
    </w:p>
  </w:footnote>
  <w:footnote w:id="30">
    <w:p w:rsidR="00957FEC" w:rsidRDefault="00957FEC" w:rsidP="00957FEC">
      <w:pPr>
        <w:pStyle w:val="Textonotapie"/>
      </w:pPr>
      <w:r>
        <w:rPr>
          <w:rStyle w:val="Refdenotaalpie"/>
        </w:rPr>
        <w:footnoteRef/>
      </w:r>
      <w:r>
        <w:t xml:space="preserve"> Como sucede en Costa Rica desde el año 1943 con la  reforma de la Constitución de 1871 y más tarde con los artículos 60, 61 y 62 de la Constitución de 1949.</w:t>
      </w:r>
    </w:p>
  </w:footnote>
  <w:footnote w:id="31">
    <w:p w:rsidR="00957FEC" w:rsidRPr="005161ED" w:rsidRDefault="00957FEC" w:rsidP="00957FEC">
      <w:pPr>
        <w:pStyle w:val="Textonotapie"/>
        <w:jc w:val="both"/>
      </w:pPr>
      <w:r>
        <w:rPr>
          <w:rStyle w:val="Refdenotaalpie"/>
        </w:rPr>
        <w:footnoteRef/>
      </w:r>
      <w:r>
        <w:t xml:space="preserve"> Ha señalado el Tribunal Constitucional Español, que </w:t>
      </w:r>
      <w:r>
        <w:rPr>
          <w:i/>
        </w:rPr>
        <w:t xml:space="preserve">“Forma parte del contenido esencial de la libertad sindical el derecho de los sindicatos de participar en la determinación de las condiciones de trabajo, cuyo instrumento básico, según ya se desprende de la Constitución y de los convenios internacionales, es la negociación colectiva. Cuando en un sistema social dado el instrumento típico de la negociación de las condiciones de trabajo es la negociación colectiva de eficacia general y , más todavía cuando dicha negociación ya se ha producido y ha diseñado una unidad de negociación (…), que delimita funcional y territorialmente el ámbito de fijación de las condiciones de trabajo, la exclusión de la negociación supone de hecho la exclusión del sindicato de su  función de participación en tal fijación y, en consecuencia, de una de sus funciones especiales”. </w:t>
      </w:r>
      <w:r>
        <w:t xml:space="preserve">(Sentencia 73/1984 de 27 de junio, de la Sala Primera del Tribunal Constitucional). En el mismo sentido, ha indicado el mismo Tribunal que </w:t>
      </w:r>
      <w:r>
        <w:rPr>
          <w:i/>
        </w:rPr>
        <w:t xml:space="preserve">“la libertad sindical comprende inexcusablemente también aquellos medios de acción sindical (entre ellos la negociación colectiva) que contribuyen a que el sindicato pueda desenvolver la actividad a que está llamado por la Constitución. Por lo tanto negar, obstaculizar o desvirtuar el ejercicio de dicha facultad negociadora por los sindicatos ha de entenderse no solo como práctica vulneradora del artículo 37.1 de la Constitución y de la fuerza vinculante de los convenios por dicho precepto declarado, sino también como una violación del derecho a la libertad sindical que consagra el artículo 28.1 de la Constitución”. </w:t>
      </w:r>
      <w:r>
        <w:t>(Sentencia No. 105/1992 de 1 de Julio).</w:t>
      </w:r>
    </w:p>
  </w:footnote>
  <w:footnote w:id="32">
    <w:p w:rsidR="00957FEC" w:rsidRDefault="00957FEC" w:rsidP="00957FEC">
      <w:pPr>
        <w:pStyle w:val="Textonotapie"/>
        <w:jc w:val="both"/>
      </w:pPr>
      <w:r>
        <w:rPr>
          <w:rStyle w:val="Refdenotaalpie"/>
        </w:rPr>
        <w:footnoteRef/>
      </w:r>
      <w:r>
        <w:t xml:space="preserve"> En efecto, en el voto No. 12457- de las quince horas y treinta y seis minutos del trece de setiembre de dos mil once, señaló ese Tribunal Constitucional lo siguiente: “La libertad sindical en el ordenamiento jurídico costarricense está compuesta por tres elementos básicos, a saber, la libre sindicación, el derecho de huelga y paro patronal y, la negociación colectiva”.</w:t>
      </w:r>
    </w:p>
  </w:footnote>
  <w:footnote w:id="33">
    <w:p w:rsidR="00957FEC" w:rsidRDefault="00957FEC" w:rsidP="00957FEC">
      <w:pPr>
        <w:pStyle w:val="Textonotapie"/>
        <w:jc w:val="both"/>
      </w:pPr>
      <w:r>
        <w:rPr>
          <w:rStyle w:val="Refdenotaalpie"/>
        </w:rPr>
        <w:footnoteRef/>
      </w:r>
      <w:r>
        <w:t xml:space="preserve"> La Constitución italiana y alemana reconocen por separado el derecho a la negociación colectiva como un derecho fundamental, y si bien es cierto la Constitución de España no lo hace así, al otorgar el rango de derecho fundamental únicamente a la libertad sindical y a la libertad de huelga, la misma doctrina española reconoce que no es infrecuente observar en documentos y tratados internacionales cierta  tendencia a reconocer por separado los derechos de la libertad sindical y la negociación colectiva (Manuel Cubero Iglesias. “Negociación Colectiva”, Editorial Colex, Madrid, 1997, página 37).</w:t>
      </w:r>
    </w:p>
  </w:footnote>
  <w:footnote w:id="34">
    <w:p w:rsidR="00957FEC" w:rsidRDefault="00957FEC" w:rsidP="00957FEC">
      <w:pPr>
        <w:pStyle w:val="Textonotapie"/>
        <w:jc w:val="both"/>
      </w:pPr>
      <w:r>
        <w:rPr>
          <w:rStyle w:val="Refdenotaalpie"/>
        </w:rPr>
        <w:footnoteRef/>
      </w:r>
      <w:r>
        <w:t xml:space="preserve"> Partimos de que se puede hablar en este caso de derechos fundamentales, pues se trata de derechos que no requieren de ningún desarrollo normativo ulterior para ser exigibles y se encuentran debidamente incorporados en el texto constitucional. En el caso de Costa Rica, el Tribunal Constitucional ha declarado expresamente que la libertad sindical es un derecho fundamental, verbigracia en la sentencia 2011-013126 de las diecisiete horas del 27 de setiembre de 2011.</w:t>
      </w:r>
    </w:p>
  </w:footnote>
  <w:footnote w:id="35">
    <w:p w:rsidR="00957FEC" w:rsidRDefault="00957FEC" w:rsidP="00957FEC">
      <w:pPr>
        <w:pStyle w:val="Textonotapie"/>
        <w:jc w:val="both"/>
      </w:pPr>
      <w:r>
        <w:rPr>
          <w:rStyle w:val="Refdenotaalpie"/>
        </w:rPr>
        <w:footnoteRef/>
      </w:r>
      <w:r>
        <w:t xml:space="preserve"> No podemos sin embargo dejar de recordar las palabras del Prof. Lyon Caen en el Congreso Europeo de Derecho del Trabajo y de la Seguridad Civil, celebrado en Sevilla, España, en septiembre del año 2011, cuando señaló como una paradoja, que mientras el derecho a la negociación colectiva nunca ha tenido un reconocimiento mayor en el mundo, la negociación en sí se encuentre cada vez más desequilibrada. Ello en razón al poder cada vez mayor de los empresarios, frente al poder cada vez más débil de los sindicatos. </w:t>
      </w:r>
    </w:p>
  </w:footnote>
  <w:footnote w:id="36">
    <w:p w:rsidR="00957FEC" w:rsidRPr="002C6AE2" w:rsidRDefault="00957FEC" w:rsidP="00957FEC">
      <w:pPr>
        <w:pStyle w:val="Textonotapie"/>
        <w:jc w:val="both"/>
        <w:rPr>
          <w:i/>
        </w:rPr>
      </w:pPr>
      <w:r>
        <w:rPr>
          <w:rStyle w:val="Refdenotaalpie"/>
        </w:rPr>
        <w:footnoteRef/>
      </w:r>
      <w:r>
        <w:t xml:space="preserve"> Así, en la sentencia No. 58, de 30 de abril de 1985, se indica por parte de este Tribunal que: </w:t>
      </w:r>
      <w:r>
        <w:rPr>
          <w:i/>
        </w:rPr>
        <w:t xml:space="preserve">“Como ha tenido oportunidad de señalar este Tribunal la representación que los artículos 87 y 88 del Estatuto de los Trabajadores otorgan a las partes negociadoras de los Convenios Colectivos de eficacia general es una representación institucional, y por tanto representación de intereses y no de voluntades”. </w:t>
      </w:r>
    </w:p>
  </w:footnote>
  <w:footnote w:id="37">
    <w:p w:rsidR="00957FEC" w:rsidRDefault="00957FEC" w:rsidP="00957FEC">
      <w:pPr>
        <w:pStyle w:val="Textonotapie"/>
        <w:jc w:val="both"/>
      </w:pPr>
      <w:r>
        <w:rPr>
          <w:rStyle w:val="Refdenotaalpie"/>
        </w:rPr>
        <w:footnoteRef/>
      </w:r>
      <w:r>
        <w:t xml:space="preserve"> Dato tomado del artículo periodístico de Manuel V. Gómez, publicado en el Diario El País de España, edición digital del día 1  de mayo de 2016, titulado “El fin de una era sindical”. Según el mismo artículo, la eficacia general de los convenios colectivos se produce de facto en casi toda Europa, aunque no esté regulado jurídicamente de esa forma. Así, en Francia, la extensión de los convenios a los no afiliados es potestad del Gobierno, que lo hace a petición de partes, lo que a juzgar por los números casi siempre sucede. En Italia – sigue indicando el articulista-, la eficacia general por ley solo se aplica a los convenios de empresa y regionales. A los pactos sectoriales de ámbito nacional, en teoría, no se les aplica esta figura jurídica, aunque hay jurisprudencia que de hecho lleva a los convenios más allá de los límites señalados por la norma. En Alemania los pactos pactos que se firman en la empresa afectan a todos los trabajadores de la misma, sin que resulte extraño que se apliquen también fuera de la misma. En los Países Nórdicos, la extensión de los convenios se alcanza por la demanda de los propios sindicatos, o por propia decisión de los empresarios y patronales. Finalmente en Inglaterra, de acuerdo al mismo artículo que se reseña, la relación entre afiliación sindical y negociación colectiva es estrecha, como lo demuestra que en el año 2013, la tasa de sindicalización era del 25% y los convenios beneficiaban al 29% de los asalariados. </w:t>
      </w:r>
    </w:p>
  </w:footnote>
  <w:footnote w:id="38">
    <w:p w:rsidR="00957FEC" w:rsidRDefault="00957FEC" w:rsidP="00957FEC">
      <w:pPr>
        <w:pStyle w:val="Textonotapie"/>
      </w:pPr>
      <w:r>
        <w:rPr>
          <w:rStyle w:val="Refdenotaalpie"/>
        </w:rPr>
        <w:footnoteRef/>
      </w:r>
      <w:r>
        <w:t xml:space="preserve"> Idem.</w:t>
      </w:r>
    </w:p>
  </w:footnote>
  <w:footnote w:id="39">
    <w:p w:rsidR="00957FEC" w:rsidRDefault="00957FEC" w:rsidP="00957FEC">
      <w:pPr>
        <w:pStyle w:val="Textonotapie"/>
      </w:pPr>
      <w:r>
        <w:rPr>
          <w:rStyle w:val="Refdenotaalpie"/>
        </w:rPr>
        <w:footnoteRef/>
      </w:r>
      <w:r>
        <w:t xml:space="preserve"> Sobre la diferencia entre capacidad convencional y legitimación para negociar, ver del autor Antonio Ojeda Aviés, “Compendio de Derecho Sindical”, Tercera Edición, Editorial Tecnos, Madrid, 2014, página 397).</w:t>
      </w:r>
    </w:p>
  </w:footnote>
  <w:footnote w:id="40">
    <w:p w:rsidR="00957FEC" w:rsidRPr="00547C55" w:rsidRDefault="00957FEC" w:rsidP="00957FEC">
      <w:pPr>
        <w:pStyle w:val="Textonotapie"/>
        <w:jc w:val="both"/>
      </w:pPr>
      <w:r>
        <w:rPr>
          <w:rStyle w:val="Refdenotaalpie"/>
        </w:rPr>
        <w:footnoteRef/>
      </w:r>
      <w:r>
        <w:t xml:space="preserve"> A esta reciprocidad se refieren los autores José Luis Monereo Pérez, María Nieves Moreno Vida, Antonio Márquez Prieto, Miguel Angel Almendros González, María Teresa Díaz Aznarte, José Antonio Fernández Avilez y María Salas Porras, en su obra “Manual de Teoría de las Relaciones Laborales”, en la cual indican: </w:t>
      </w:r>
      <w:r>
        <w:rPr>
          <w:i/>
        </w:rPr>
        <w:t>“La negociación colectiva ha sido mencionada (…) como un medio autónomo de solución de conflictos. Pero su alcance es mucho mayor, pudiendo ser útil no solo para gestionar un conflicto, sino para gestionar de forma participativa la dinámica empresarial, prevenir, mitigar o evitar los efectos de una situación de crisis empresarial, etc. En cuanto dinámica empresarial se corresponde con el ámbito de reciprocidad (según el esquema de la justicia relacional); pero también posee una parte estructural, correspondiente al ámbito de relacionalidad: su estructura organizativa procedimental y, sobre todo, el resultado de la negociación, en la medida en que adquiere fuerza o eficacia vinculante”.</w:t>
      </w:r>
      <w:r>
        <w:t>(Editorial Tecnos, Madrid, 2011, página 215).</w:t>
      </w:r>
    </w:p>
  </w:footnote>
  <w:footnote w:id="41">
    <w:p w:rsidR="00957FEC" w:rsidRDefault="00957FEC" w:rsidP="00957FEC">
      <w:pPr>
        <w:pStyle w:val="Textonotapie"/>
      </w:pPr>
      <w:r>
        <w:rPr>
          <w:rStyle w:val="Refdenotaalpie"/>
        </w:rPr>
        <w:footnoteRef/>
      </w:r>
      <w:r>
        <w:t xml:space="preserve"> Recopilación de decisiones y principios del Comité de Libertad Sindical, OIT, Ginebra, 2006, párrafo882.</w:t>
      </w:r>
    </w:p>
  </w:footnote>
  <w:footnote w:id="42">
    <w:p w:rsidR="00957FEC" w:rsidRPr="00FA2E12" w:rsidRDefault="00957FEC" w:rsidP="00957FEC">
      <w:pPr>
        <w:pStyle w:val="Textonotapie"/>
        <w:jc w:val="both"/>
      </w:pPr>
      <w:r>
        <w:rPr>
          <w:rStyle w:val="Refdenotaalpie"/>
        </w:rPr>
        <w:footnoteRef/>
      </w:r>
      <w:r>
        <w:t xml:space="preserve"> La resolución que aquí interesa expresa textualmente lo siguiente: </w:t>
      </w:r>
      <w:r>
        <w:rPr>
          <w:i/>
        </w:rPr>
        <w:t xml:space="preserve">“Para liberar enteramente al proletariado de las trabas de la servidumbre intelectual, política y económica, la lucha política y la lucha económica son igualmente necesarias. Si la actividad de partido socialista se ejerce sobre todo en el dominio de la lucha política del proletariado, la de los sindicatos se ejerce principalmente en la lucha económica de la clase obrera. El partido y los sindicatos, por lo tanto, tienen una tarea igualmente importante en la lucha emancipadora del proletariado. Cada una de las dos organizaciones tienen su dominio distinto, determinado por su propia naturaleza y en el cual cada uno debe normar su acción de manera absolutamente independiente. Mas existe también un dominio cada vez mayor de la lucha proletaria, en el cual no se pueden tener buenos resultados más que por el acuerdo y la cooperación de partido y de los sindicatos. En consecuencia, la lucha proletaria </w:t>
      </w:r>
      <w:r w:rsidRPr="0080718C">
        <w:rPr>
          <w:i/>
          <w:sz w:val="24"/>
          <w:szCs w:val="24"/>
        </w:rPr>
        <w:t>será</w:t>
      </w:r>
      <w:r>
        <w:rPr>
          <w:i/>
        </w:rPr>
        <w:t xml:space="preserve"> mayor desarrollada y resultará más fructuosa si las relaciones entre los sindicatos y el partido son más estrechas sin prometer la necesaria unidad del movimiento sindical”. </w:t>
      </w:r>
      <w:r>
        <w:t>(Amaro del Rosal, “Los Congresos Obreros Internacionales del Siglo XX”, Editorial Grijalbo, Barcelona, 1975, Tercera Edición, página 54).</w:t>
      </w:r>
    </w:p>
  </w:footnote>
  <w:footnote w:id="43">
    <w:p w:rsidR="00957FEC" w:rsidRDefault="00957FEC" w:rsidP="00957FEC">
      <w:pPr>
        <w:pStyle w:val="Textonotapie"/>
        <w:jc w:val="both"/>
      </w:pPr>
      <w:r>
        <w:rPr>
          <w:rStyle w:val="Refdenotaalpie"/>
        </w:rPr>
        <w:footnoteRef/>
      </w:r>
      <w:r>
        <w:t xml:space="preserve"> Debe aclararse que para llegar a esta conclusión no se está cayendo en ninguna posición cercana al anarcosindicalismo ni a doctrinas ácratas. Se trata más bien de rescatar el papel de los sindicatos como organizaciones con identidad propia, frente a otras formas de organización social, sean partidos políticos u otras formas de asociación. </w:t>
      </w:r>
    </w:p>
  </w:footnote>
  <w:footnote w:id="44">
    <w:p w:rsidR="00957FEC" w:rsidRDefault="00957FEC" w:rsidP="00957FEC">
      <w:pPr>
        <w:pStyle w:val="Textonotapie"/>
      </w:pPr>
      <w:r>
        <w:rPr>
          <w:rStyle w:val="Refdenotaalpie"/>
        </w:rPr>
        <w:footnoteRef/>
      </w:r>
      <w:r>
        <w:t xml:space="preserve"> José Luis Monereo Pérez y Juan Antonio Fernández Avilés, Estudio Preliminar a la obra de Giovanni Tarello, “Teorías e Ideologías en el Derecho Sindical”, op.cit., página XLI.</w:t>
      </w:r>
    </w:p>
  </w:footnote>
  <w:footnote w:id="45">
    <w:p w:rsidR="00957FEC" w:rsidRDefault="00957FEC" w:rsidP="00957FEC">
      <w:pPr>
        <w:pStyle w:val="Textonotapie"/>
      </w:pPr>
      <w:r>
        <w:rPr>
          <w:rStyle w:val="Refdenotaalpie"/>
        </w:rPr>
        <w:footnoteRef/>
      </w:r>
      <w:r>
        <w:t xml:space="preserve"> Ibídem, página XLIX.</w:t>
      </w:r>
    </w:p>
  </w:footnote>
  <w:footnote w:id="46">
    <w:p w:rsidR="00957FEC" w:rsidRPr="0064542F" w:rsidRDefault="00957FEC" w:rsidP="00957FEC">
      <w:pPr>
        <w:pStyle w:val="Textonotapie"/>
      </w:pPr>
      <w:r>
        <w:rPr>
          <w:rStyle w:val="Refdenotaalpie"/>
        </w:rPr>
        <w:footnoteRef/>
      </w:r>
      <w:r>
        <w:t xml:space="preserve"> Según el autor argentino Antonio Vásquez Vialard, “</w:t>
      </w:r>
      <w:r>
        <w:rPr>
          <w:i/>
        </w:rPr>
        <w:t xml:space="preserve">Con frecuencia se considera al sindicalismo como una expresión económica o industrial, lo cual no responde a la realidad de los hechos. En el fenómeno intervienen otros factores de principal importancia, de orden social, psicológico, etcétera. La situación de inferioridad provocado por la debilidad del obrero para pactar las condiciones de trabajo, lo lleva a unirse a sus iguales  fin de lograr reformas de orden social que van más allá de los aspectos económicos (mejora de salarios y condiciones de vida), ya que alcanzan soluciones de fondo”. </w:t>
      </w:r>
      <w:r>
        <w:t>(“El Sindicato en el Derecho Argentino”, Editorial Astrea, Buenos Aires, 1981, página 26).</w:t>
      </w:r>
    </w:p>
  </w:footnote>
  <w:footnote w:id="47">
    <w:p w:rsidR="00957FEC" w:rsidRDefault="00957FEC" w:rsidP="00957FEC">
      <w:pPr>
        <w:pStyle w:val="Textonotapie"/>
      </w:pPr>
      <w:r>
        <w:rPr>
          <w:rStyle w:val="Refdenotaalpie"/>
        </w:rPr>
        <w:footnoteRef/>
      </w:r>
      <w:r>
        <w:t xml:space="preserve"> Ibídem, página 52.</w:t>
      </w:r>
    </w:p>
  </w:footnote>
  <w:footnote w:id="48">
    <w:p w:rsidR="00957FEC" w:rsidRDefault="00957FEC" w:rsidP="00957FEC">
      <w:pPr>
        <w:pStyle w:val="Textonotapie"/>
      </w:pPr>
      <w:r>
        <w:rPr>
          <w:rStyle w:val="Refdenotaalpie"/>
        </w:rPr>
        <w:footnoteRef/>
      </w:r>
      <w:r>
        <w:t xml:space="preserve"> Confrontar la obra ya citada de Giovanni Tarello, páginas 141 y 168.</w:t>
      </w:r>
    </w:p>
  </w:footnote>
  <w:footnote w:id="49">
    <w:p w:rsidR="00957FEC" w:rsidRPr="008630D1" w:rsidRDefault="00957FEC" w:rsidP="00957FEC">
      <w:pPr>
        <w:pStyle w:val="Textonotapie"/>
        <w:jc w:val="both"/>
        <w:rPr>
          <w:i/>
        </w:rPr>
      </w:pPr>
      <w:r>
        <w:rPr>
          <w:rStyle w:val="Refdenotaalpie"/>
        </w:rPr>
        <w:footnoteRef/>
      </w:r>
      <w:r>
        <w:t xml:space="preserve"> Sobre el particular, ha señalado el Comité de Libertad Sindical de la OIT, que: </w:t>
      </w:r>
      <w:r>
        <w:rPr>
          <w:i/>
        </w:rPr>
        <w:t xml:space="preserve">En interés del desarrollo normal del movimiento sindical, sería deseable que las partes interesadas se inspiren en los principios enunciados en la resolución adoptada por la Conferencia Internacional del Trabajo en su 35ª reunión (1952), que prevé especialmente que la misión fundamental y permanente del movimiento sindical es el progreso  económico y social de los trabajadores y que, por consiguiente, cuando los sindicatos decidan, de conformidad con las leyes y costumbres en vigor en sus respectivos países, y por la voluntad de sus miembros, establecer relaciones con un partido político o llevar a cabo una acción política conforme a la Constitución para favorecer la realización de sus objetivos económicos y sociales, estas relaciones o esta acción política no deben ser de tal naturaleza que comprometan la continuidad del movimiento sindical o de sus funciones sociales y económicas, cualesquiera que sean los cambios políticos que puedan sobrevenir en el país”. </w:t>
      </w:r>
      <w:r>
        <w:t>(Recopilación del año 2006, párrafo 498).</w:t>
      </w:r>
      <w:r>
        <w:rPr>
          <w:i/>
        </w:rPr>
        <w:t xml:space="preserve"> </w:t>
      </w:r>
    </w:p>
  </w:footnote>
  <w:footnote w:id="50">
    <w:p w:rsidR="00957FEC" w:rsidRPr="00077461" w:rsidRDefault="00957FEC" w:rsidP="00957FEC">
      <w:pPr>
        <w:pStyle w:val="Textonotapie"/>
        <w:jc w:val="both"/>
        <w:rPr>
          <w:i/>
        </w:rPr>
      </w:pPr>
      <w:r>
        <w:rPr>
          <w:rStyle w:val="Refdenotaalpie"/>
        </w:rPr>
        <w:footnoteRef/>
      </w:r>
      <w:r>
        <w:t xml:space="preserve"> La Sala Constitucional de Costa Rica, en el voto No. 12457 de las quince horas treinta y seis minutos del trece de setiembre de 2011, acepta esta representación amplia de los sindicatos, tanto dentro como fuera de la empresa, al señalaren la Consideración número IV de dicho fallo lo siguiente: </w:t>
      </w:r>
      <w:r>
        <w:rPr>
          <w:i/>
        </w:rPr>
        <w:t>“A partir de esta relación de normas, sobresale la figura constitucional del sindicato como aquella permanentemente encaminada a la representación y defensa de intereses de los trabajadores respecto de su empleador, o bien, respecto a cualquier otro sujeto de carácter público o privado”.</w:t>
      </w:r>
    </w:p>
  </w:footnote>
  <w:footnote w:id="51">
    <w:p w:rsidR="00957FEC" w:rsidRDefault="00957FEC" w:rsidP="00957FEC">
      <w:pPr>
        <w:pStyle w:val="Textonotapie"/>
      </w:pPr>
      <w:r>
        <w:rPr>
          <w:rStyle w:val="Refdenotaalpie"/>
        </w:rPr>
        <w:footnoteRef/>
      </w:r>
      <w:r>
        <w:t xml:space="preserve"> Comité de Libertad Sindical de OIT. Recopilación de Decisiones y Principios del año 2006, párrafos 500 y 503. Es criterio del mismo Comité que los casos de abuso por parte de los sindicatos, en materia de actividad política, correspondería determinarlo al Poder Judicial y nunca a las autoridades administrativas (Recopilación del año 2006, párrafo 501).</w:t>
      </w:r>
    </w:p>
  </w:footnote>
  <w:footnote w:id="52">
    <w:p w:rsidR="00957FEC" w:rsidRDefault="00957FEC" w:rsidP="00957FEC">
      <w:pPr>
        <w:pStyle w:val="Textonotapie"/>
      </w:pPr>
      <w:r>
        <w:rPr>
          <w:rStyle w:val="Refdenotaalpie"/>
        </w:rPr>
        <w:footnoteRef/>
      </w:r>
      <w:r>
        <w:t xml:space="preserve"> Patricio Frías. “El Estado actual del Movimiento Sindical Centroamericano”, artículo tomado del Libro “El Impacto de la Globalización en el Movimiento Sindical” (Segunda Reunión Sindical Subregional). Editado por la Organización Internacional del Trabajo, Primera Edición, San José, 2003, página 49.</w:t>
      </w:r>
    </w:p>
  </w:footnote>
  <w:footnote w:id="53">
    <w:p w:rsidR="00957FEC" w:rsidRDefault="00957FEC" w:rsidP="00957FEC">
      <w:pPr>
        <w:pStyle w:val="Textonotapie"/>
      </w:pPr>
      <w:r>
        <w:rPr>
          <w:rStyle w:val="Refdenotaalpie"/>
        </w:rPr>
        <w:footnoteRef/>
      </w:r>
      <w:r>
        <w:t xml:space="preserve"> Citado por Eberhard Shmidt, en el artículo titulado Sustainability and Unios: International Trade Union Action to implement sustainability norms at corporate level”, el cual forma parte de la obra colectiva titulada “Trade Union Responses to Globalization”, Editado por Verena Schmidt, bajo los auspicios de la Oficina Internacional del Trabajo, Ginebra, 2007. </w:t>
      </w:r>
    </w:p>
  </w:footnote>
  <w:footnote w:id="54">
    <w:p w:rsidR="00957FEC" w:rsidRDefault="00957FEC" w:rsidP="00957FEC">
      <w:pPr>
        <w:pStyle w:val="Textonotapie"/>
      </w:pPr>
      <w:r>
        <w:rPr>
          <w:rStyle w:val="Refdenotaalpie"/>
        </w:rPr>
        <w:footnoteRef/>
      </w:r>
      <w:r>
        <w:t xml:space="preserve"> Presentación editorial por parte de Verana Shcmidt de la obra colectiva mencionada en la cita anterior, página 9.</w:t>
      </w:r>
    </w:p>
  </w:footnote>
  <w:footnote w:id="55">
    <w:p w:rsidR="00957FEC" w:rsidRDefault="00957FEC" w:rsidP="00957FEC">
      <w:pPr>
        <w:pStyle w:val="Textonotapie"/>
      </w:pPr>
      <w:r>
        <w:rPr>
          <w:rStyle w:val="Refdenotaalpie"/>
        </w:rPr>
        <w:footnoteRef/>
      </w:r>
      <w:r>
        <w:t xml:space="preserve"> Op. cit., ver cita No. 19 anterior.</w:t>
      </w:r>
    </w:p>
  </w:footnote>
  <w:footnote w:id="56">
    <w:p w:rsidR="00957FEC" w:rsidRDefault="00957FEC" w:rsidP="00957FEC">
      <w:pPr>
        <w:pStyle w:val="Textonotapie"/>
      </w:pPr>
      <w:r>
        <w:rPr>
          <w:rStyle w:val="Refdenotaalpie"/>
        </w:rPr>
        <w:footnoteRef/>
      </w:r>
      <w:r>
        <w:t xml:space="preserve"> D. Judzik y H. Sala. Op. cit., página 234.</w:t>
      </w:r>
    </w:p>
  </w:footnote>
  <w:footnote w:id="57">
    <w:p w:rsidR="00957FEC" w:rsidRPr="00C178AD" w:rsidRDefault="00957FEC" w:rsidP="00957FEC">
      <w:pPr>
        <w:pStyle w:val="Textonotapie"/>
        <w:jc w:val="both"/>
        <w:rPr>
          <w:i/>
        </w:rPr>
      </w:pPr>
      <w:r>
        <w:rPr>
          <w:rStyle w:val="Refdenotaalpie"/>
        </w:rPr>
        <w:footnoteRef/>
      </w:r>
      <w:r>
        <w:t xml:space="preserve"> Ibídem, página 259. Otros cálculo que hacen estos autores es el siguiente: </w:t>
      </w:r>
      <w:r>
        <w:rPr>
          <w:i/>
        </w:rPr>
        <w:t>“Al impedir que los salarios sigan subiendo, ampliando de esta forma la brecha entre salario y productividad, el proceso de desindicalización ha contribuido en gran medida a reducir la participación de la renta del trabajo en las últimas décadas: 4.7% porcentuales en los Estados Unidos, 5.3 en el Reino Unidos, 6.7 en Italia, casi 11 puntos en Francia y 18 puntos en Japón. En Finlandia y Suecia en cambio, el efecto sindical no es significativo pues no llega al 1 por ciento”.</w:t>
      </w:r>
      <w:r>
        <w:t xml:space="preserve"> </w:t>
      </w:r>
      <w:r w:rsidRPr="00C178AD">
        <w:t>(página 260)</w:t>
      </w:r>
      <w:r>
        <w:t>.</w:t>
      </w:r>
    </w:p>
  </w:footnote>
  <w:footnote w:id="58">
    <w:p w:rsidR="00957FEC" w:rsidRDefault="00957FEC" w:rsidP="00957FEC">
      <w:pPr>
        <w:pStyle w:val="Textonotapie"/>
      </w:pPr>
      <w:r>
        <w:rPr>
          <w:rStyle w:val="Refdenotaalpie"/>
        </w:rPr>
        <w:footnoteRef/>
      </w:r>
      <w:r>
        <w:t xml:space="preserve"> Manuel V. Gómez, op. cit. (ver cita 37 anterior). </w:t>
      </w:r>
    </w:p>
  </w:footnote>
  <w:footnote w:id="59">
    <w:p w:rsidR="00957FEC" w:rsidRDefault="00957FEC" w:rsidP="00957FEC">
      <w:pPr>
        <w:pStyle w:val="Textonotapie"/>
      </w:pPr>
      <w:r>
        <w:rPr>
          <w:rStyle w:val="Refdenotaalpie"/>
        </w:rPr>
        <w:footnoteRef/>
      </w:r>
      <w:r>
        <w:t xml:space="preserve"> Ídem.</w:t>
      </w:r>
    </w:p>
  </w:footnote>
  <w:footnote w:id="60">
    <w:p w:rsidR="00957FEC" w:rsidRPr="00674582" w:rsidRDefault="00957FEC" w:rsidP="00957FEC">
      <w:pPr>
        <w:pStyle w:val="Textonotapie"/>
        <w:rPr>
          <w:lang w:val="en-US"/>
        </w:rPr>
      </w:pPr>
      <w:r>
        <w:rPr>
          <w:rStyle w:val="Refdenotaalpie"/>
        </w:rPr>
        <w:footnoteRef/>
      </w:r>
      <w:r>
        <w:t xml:space="preserve"> Noan Chomsky. “Quién domina el mundo?”. Ediciones B, S.A., Barcelona, 2016, página 183. </w:t>
      </w:r>
      <w:r w:rsidRPr="00B957AF">
        <w:rPr>
          <w:lang w:val="en-US"/>
        </w:rPr>
        <w:t xml:space="preserve">Los estudios sobre preferencia sindical son los siguientes:  de Richard B. Freeman, “Do workers Still Want Unions? </w:t>
      </w:r>
      <w:r w:rsidRPr="00674582">
        <w:rPr>
          <w:lang w:val="en-US"/>
        </w:rPr>
        <w:t>More than ever”; y Gallup, “In U.S. Majority Approves of Unions, but Say They</w:t>
      </w:r>
      <w:r>
        <w:rPr>
          <w:lang w:val="en-US"/>
        </w:rPr>
        <w:t>´ll Weaken”.</w:t>
      </w:r>
      <w:r w:rsidRPr="00674582">
        <w:rPr>
          <w:lang w:val="en-US"/>
        </w:rPr>
        <w:t xml:space="preserve"> </w:t>
      </w:r>
    </w:p>
  </w:footnote>
  <w:footnote w:id="61">
    <w:p w:rsidR="00957FEC" w:rsidRDefault="00957FEC" w:rsidP="00957FEC">
      <w:pPr>
        <w:pStyle w:val="Textonotapie"/>
      </w:pPr>
      <w:r>
        <w:rPr>
          <w:rStyle w:val="Refdenotaalpie"/>
        </w:rPr>
        <w:footnoteRef/>
      </w:r>
      <w:r>
        <w:t xml:space="preserve"> Ver por ejemplo la cita número 6 anterior.</w:t>
      </w:r>
    </w:p>
  </w:footnote>
  <w:footnote w:id="62">
    <w:p w:rsidR="00957FEC" w:rsidRPr="00FA6E85" w:rsidRDefault="00957FEC" w:rsidP="00957FEC">
      <w:pPr>
        <w:pStyle w:val="Textonotapie"/>
        <w:jc w:val="both"/>
        <w:rPr>
          <w:i/>
        </w:rPr>
      </w:pPr>
      <w:r>
        <w:rPr>
          <w:rStyle w:val="Refdenotaalpie"/>
        </w:rPr>
        <w:footnoteRef/>
      </w:r>
      <w:r>
        <w:t xml:space="preserve"> En la obra póstuma del pensador costarricense Rodolfo Cerdas Cruz, titulada “Costa Rica en la encrucijada”, señala este autor algunas características del impacto psicosocial de la globalización, que describe de la siguiente forma: “</w:t>
      </w:r>
      <w:r>
        <w:rPr>
          <w:i/>
        </w:rPr>
        <w:t>Las luchas reivindicativas tienden a adquirir la particularidad, al tomar fuerza, de hacerlo como bolsones aislados y sectoriales: aquí los pensionados; allá, los maestros o los indígenas, más acá, los ecologistas, las mujeres y los gays; acuyá, los desocupados, los pobladores sin casa; y, en otro lado, los médicos, los empleados públicos, los campesinos sin tierra o los empleados de las maquiladoras, Hay una ausencia o enorme dificultad para establecer vasos comunicantes entre ellos, lo cual hace casi imposible formar un movimiento popular contestatario , ni una o varias corrientes organizadas y poderosas de reivindicación social, capaces de enfrentar el poder”. (op cit. página 120).</w:t>
      </w:r>
    </w:p>
  </w:footnote>
  <w:footnote w:id="63">
    <w:p w:rsidR="00957FEC" w:rsidRPr="00DB5801" w:rsidRDefault="00957FEC" w:rsidP="00957FEC">
      <w:pPr>
        <w:pStyle w:val="Textonotapie"/>
        <w:jc w:val="both"/>
      </w:pPr>
      <w:r>
        <w:rPr>
          <w:rStyle w:val="Refdenotaalpie"/>
        </w:rPr>
        <w:footnoteRef/>
      </w:r>
      <w:r>
        <w:t xml:space="preserve"> Antes de ello había indicado el mismo autor lo siguiente: </w:t>
      </w:r>
      <w:r>
        <w:rPr>
          <w:i/>
        </w:rPr>
        <w:t xml:space="preserve">“Desgarrado por la internacionalización de las finanzas y la producción, incapaz de adaptarse a la interconexión de las empresas y la individualización del trabajo, y cuestionado por la feminización del empleo, el movimiento obrero se desvanece como una fuente importante de cohesión social y representación de los trabajadores”. </w:t>
      </w:r>
      <w:r>
        <w:t xml:space="preserve">(Op. cit., páginas 394 y 393, respectivamente). </w:t>
      </w:r>
    </w:p>
  </w:footnote>
  <w:footnote w:id="64">
    <w:p w:rsidR="00957FEC" w:rsidRDefault="00957FEC" w:rsidP="00957FEC">
      <w:pPr>
        <w:pStyle w:val="Textonotapie"/>
      </w:pPr>
      <w:r>
        <w:rPr>
          <w:rStyle w:val="Refdenotaalpie"/>
        </w:rPr>
        <w:footnoteRef/>
      </w:r>
      <w:r>
        <w:t xml:space="preserve"> Según Jorge Álvarez Yaguez, en Gramsci, el concepto de libertad, también en la senda republicana, suponía una articulación de autonomía individual y de autonomía colectiva ( “Hegemonía Gramsciana y Hegemonía Populista”, artículo publicado en la Revista “Claves de Razón Práctica”, No. 248, septiembre-octubre de 2016).</w:t>
      </w:r>
    </w:p>
  </w:footnote>
  <w:footnote w:id="65">
    <w:p w:rsidR="00957FEC" w:rsidRDefault="00957FEC" w:rsidP="00957FEC">
      <w:pPr>
        <w:pStyle w:val="Textonotapie"/>
      </w:pPr>
      <w:r>
        <w:rPr>
          <w:rStyle w:val="Refdenotaalpie"/>
        </w:rPr>
        <w:footnoteRef/>
      </w:r>
      <w:r>
        <w:t xml:space="preserve"> “Más allá del Empleo”. Síntesis del Informe que puede ser consultada en el sitio web https://jeanzin.fr/ecorevo/politic/supiot99.htm.</w:t>
      </w:r>
    </w:p>
  </w:footnote>
  <w:footnote w:id="66">
    <w:p w:rsidR="00957FEC" w:rsidRPr="00F6570C" w:rsidRDefault="00957FEC" w:rsidP="00957FEC">
      <w:pPr>
        <w:pStyle w:val="Textonotapie"/>
        <w:jc w:val="both"/>
        <w:rPr>
          <w:i/>
        </w:rPr>
      </w:pPr>
      <w:r>
        <w:rPr>
          <w:rStyle w:val="Refdenotaalpie"/>
        </w:rPr>
        <w:footnoteRef/>
      </w:r>
      <w:r>
        <w:t xml:space="preserve"> El sindicato</w:t>
      </w:r>
      <w:r>
        <w:rPr>
          <w:i/>
        </w:rPr>
        <w:t xml:space="preserve"> –</w:t>
      </w:r>
      <w:r>
        <w:t xml:space="preserve">indica Rodrigo Vargas Avila- debe representar hoy a trabajadores sometidos a estatutos jurídicos muy diversos: </w:t>
      </w:r>
      <w:r>
        <w:rPr>
          <w:i/>
        </w:rPr>
        <w:t xml:space="preserve">“trabajadores contratados a jornada completa y por tiempo indeterminado; trabajadores contratados por tiempo determinado o bien por la propia empresa o a través de una empresa de trabajo temporal, incluso por mediación de cooperativas de trabajo; trabajadores temporales sujetos a un contrato formativo; trabajadores de empresas contratistas (prestadoras de servicios o no); trabajadores autónomos con intensa dependencia económica, socios trabajadores desempleados, etc.”. </w:t>
      </w:r>
      <w:r>
        <w:t>(op. cit., página 192).</w:t>
      </w:r>
      <w:r>
        <w:rPr>
          <w:i/>
        </w:rPr>
        <w:t xml:space="preserve"> </w:t>
      </w:r>
      <w:r>
        <w:t xml:space="preserve">  </w:t>
      </w:r>
    </w:p>
  </w:footnote>
  <w:footnote w:id="67">
    <w:p w:rsidR="00957FEC" w:rsidRPr="00BA4EDC" w:rsidRDefault="00957FEC" w:rsidP="00957FEC">
      <w:pPr>
        <w:pStyle w:val="Textonotapie"/>
      </w:pPr>
      <w:r>
        <w:rPr>
          <w:rStyle w:val="Refdenotaalpie"/>
        </w:rPr>
        <w:footnoteRef/>
      </w:r>
      <w:r w:rsidRPr="00BA4EDC">
        <w:t xml:space="preserve"> Eberhard Scmidt, op.</w:t>
      </w:r>
      <w:r>
        <w:t xml:space="preserve"> </w:t>
      </w:r>
      <w:r w:rsidRPr="00BA4EDC">
        <w:t>cit. en cita 51 anterior, p</w:t>
      </w:r>
      <w:r>
        <w:t>ágina 13.</w:t>
      </w:r>
    </w:p>
  </w:footnote>
  <w:footnote w:id="68">
    <w:p w:rsidR="00957FEC" w:rsidRDefault="00957FEC" w:rsidP="00957FEC">
      <w:pPr>
        <w:pStyle w:val="Textonotapie"/>
      </w:pPr>
      <w:r>
        <w:rPr>
          <w:rStyle w:val="Refdenotaalpie"/>
        </w:rPr>
        <w:footnoteRef/>
      </w:r>
      <w:r>
        <w:t xml:space="preserve"> Ibídem, páginas 19 y 20. </w:t>
      </w:r>
    </w:p>
  </w:footnote>
  <w:footnote w:id="69">
    <w:p w:rsidR="00957FEC" w:rsidRDefault="00957FEC" w:rsidP="00957FEC">
      <w:pPr>
        <w:pStyle w:val="Textonotapie"/>
        <w:jc w:val="both"/>
      </w:pPr>
      <w:r>
        <w:rPr>
          <w:rStyle w:val="Refdenotaalpie"/>
        </w:rPr>
        <w:footnoteRef/>
      </w:r>
      <w:r>
        <w:t xml:space="preserve"> Normalmente se hace mención a códigos de conducta para referirse a la auto reglamentación de las condiciones laborales establecida por el propio empleador, o por este en relación con sus franquiciadores, distribuidores y comercializadores. No obstante, también se puede dar el caso de que los códigos indicados se negocien con organizaciones sindicales, dejando de ser instrumentos de mera creación unilateral. </w:t>
      </w:r>
    </w:p>
  </w:footnote>
  <w:footnote w:id="70">
    <w:p w:rsidR="00957FEC" w:rsidRPr="00F34430" w:rsidRDefault="00957FEC" w:rsidP="00957FEC">
      <w:pPr>
        <w:pStyle w:val="Textonotapie"/>
        <w:rPr>
          <w:lang w:val="en-US"/>
        </w:rPr>
      </w:pPr>
      <w:r>
        <w:rPr>
          <w:rStyle w:val="Refdenotaalpie"/>
        </w:rPr>
        <w:footnoteRef/>
      </w:r>
      <w:r w:rsidRPr="00F34430">
        <w:t xml:space="preserve"> Lee Pegler y Peter Knorringa. </w:t>
      </w:r>
      <w:r w:rsidRPr="00F34430">
        <w:rPr>
          <w:lang w:val="en-US"/>
        </w:rPr>
        <w:t xml:space="preserve">“Integrating Labour Issues in Global Value chan analysis: Explorin Implications for Labour Research and Unions”, </w:t>
      </w:r>
      <w:r>
        <w:rPr>
          <w:lang w:val="en-US"/>
        </w:rPr>
        <w:t>de la obra colectiva ya citada “Trade Union Responses to Globalization”, op. cit., página46.</w:t>
      </w:r>
    </w:p>
  </w:footnote>
  <w:footnote w:id="71">
    <w:p w:rsidR="00957FEC" w:rsidRPr="004A1304" w:rsidRDefault="00957FEC" w:rsidP="00957FEC">
      <w:pPr>
        <w:pStyle w:val="Textonotapie"/>
      </w:pPr>
      <w:r>
        <w:rPr>
          <w:rStyle w:val="Refdenotaalpie"/>
        </w:rPr>
        <w:footnoteRef/>
      </w:r>
      <w:r w:rsidRPr="00F34430">
        <w:rPr>
          <w:lang w:val="en-US"/>
        </w:rPr>
        <w:t xml:space="preserve"> Anibel Ferus-Comelo. “Paving the path Toward the unionization of High-Tech sweatshops”</w:t>
      </w:r>
      <w:r>
        <w:rPr>
          <w:lang w:val="en-US"/>
        </w:rPr>
        <w:t xml:space="preserve">, de la misma obra colectiva mencionada en la cita anterior, página 52. </w:t>
      </w:r>
      <w:r w:rsidRPr="004A1304">
        <w:t xml:space="preserve">Traducción libre del autor.  </w:t>
      </w:r>
    </w:p>
  </w:footnote>
  <w:footnote w:id="72">
    <w:p w:rsidR="00957FEC" w:rsidRDefault="00957FEC" w:rsidP="00957FEC">
      <w:pPr>
        <w:pStyle w:val="Textonotapie"/>
      </w:pPr>
      <w:r>
        <w:rPr>
          <w:rStyle w:val="Refdenotaalpie"/>
        </w:rPr>
        <w:footnoteRef/>
      </w:r>
      <w:r>
        <w:t xml:space="preserve"> Para Zigmunt Bauman </w:t>
      </w:r>
      <w:r>
        <w:rPr>
          <w:i/>
        </w:rPr>
        <w:t xml:space="preserve">“el capital depende, para su competitividad, efectividad y rentabilidad, de los consumidores - y su itinerario está guiado por la presencia o la ausencia de consumidores o por la existencia de potenciales consumidores, la posibilidad de generarlos para luego inflar la demanda de las ideas disponibles a la venta-“. </w:t>
      </w:r>
      <w:r>
        <w:t>(op. cit., página 161).</w:t>
      </w:r>
    </w:p>
    <w:p w:rsidR="00957FEC" w:rsidRPr="00636E22" w:rsidRDefault="00957FEC" w:rsidP="00957FEC">
      <w:pPr>
        <w:pStyle w:val="Textonotapie"/>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4035BC8"/>
    <w:multiLevelType w:val="hybridMultilevel"/>
    <w:tmpl w:val="E55CBCDA"/>
    <w:lvl w:ilvl="0" w:tplc="C66C989A">
      <w:start w:val="1"/>
      <w:numFmt w:val="upperRoman"/>
      <w:lvlText w:val="%1."/>
      <w:lvlJc w:val="left"/>
      <w:pPr>
        <w:ind w:left="1080" w:hanging="72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FEC"/>
    <w:rsid w:val="00563B89"/>
    <w:rsid w:val="00957FEC"/>
    <w:rsid w:val="00A768D1"/>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F65281-B766-4858-A5C1-429B9CD17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2"/>
        <w:lang w:val="es-C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7FEC"/>
    <w:rPr>
      <w:rFonts w:asciiTheme="minorHAnsi" w:hAnsiTheme="minorHAnsi"/>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57FEC"/>
    <w:pPr>
      <w:ind w:left="720"/>
      <w:contextualSpacing/>
    </w:pPr>
  </w:style>
  <w:style w:type="paragraph" w:styleId="Textonotapie">
    <w:name w:val="footnote text"/>
    <w:basedOn w:val="Normal"/>
    <w:link w:val="TextonotapieCar"/>
    <w:uiPriority w:val="99"/>
    <w:semiHidden/>
    <w:unhideWhenUsed/>
    <w:rsid w:val="00957FEC"/>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957FEC"/>
    <w:rPr>
      <w:rFonts w:asciiTheme="minorHAnsi" w:hAnsiTheme="minorHAnsi"/>
      <w:sz w:val="20"/>
      <w:szCs w:val="20"/>
    </w:rPr>
  </w:style>
  <w:style w:type="character" w:styleId="Refdenotaalpie">
    <w:name w:val="footnote reference"/>
    <w:basedOn w:val="Fuentedeprrafopredeter"/>
    <w:uiPriority w:val="99"/>
    <w:semiHidden/>
    <w:unhideWhenUsed/>
    <w:rsid w:val="00957FEC"/>
    <w:rPr>
      <w:vertAlign w:val="superscript"/>
    </w:rPr>
  </w:style>
  <w:style w:type="character" w:styleId="Hipervnculo">
    <w:name w:val="Hyperlink"/>
    <w:basedOn w:val="Fuentedeprrafopredeter"/>
    <w:uiPriority w:val="99"/>
    <w:unhideWhenUsed/>
    <w:rsid w:val="00957FE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searchgate.net/publication/277273419" TargetMode="External"/><Relationship Id="rId3" Type="http://schemas.openxmlformats.org/officeDocument/2006/relationships/settings" Target="settings.xml"/><Relationship Id="rId7" Type="http://schemas.openxmlformats.org/officeDocument/2006/relationships/hyperlink" Target="http://www.newyorker.com/magazine/2016/12/19/our-automated-future?mbid=social_faceboo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www.researchgate.net/publication/277273419_El_sindicato_y_sus_retos_ante_las_transformaciones_economicas_y_sociales" TargetMode="External"/><Relationship Id="rId1" Type="http://schemas.openxmlformats.org/officeDocument/2006/relationships/hyperlink" Target="http://www.newyorker.com/magazine/2016/12/19/our-automated-future?mbid=social_facebook"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32</Pages>
  <Words>9214</Words>
  <Characters>50680</Characters>
  <Application>Microsoft Office Word</Application>
  <DocSecurity>0</DocSecurity>
  <Lines>422</Lines>
  <Paragraphs>119</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59775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FERNANDO BOLAÑOS</dc:creator>
  <cp:keywords/>
  <dc:description/>
  <cp:lastModifiedBy>Dr. FERNANDO BOLAÑOS</cp:lastModifiedBy>
  <cp:revision>1</cp:revision>
  <dcterms:created xsi:type="dcterms:W3CDTF">2019-05-27T15:53:00Z</dcterms:created>
  <dcterms:modified xsi:type="dcterms:W3CDTF">2019-05-27T15:54:00Z</dcterms:modified>
</cp:coreProperties>
</file>